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highlight w:val="none"/>
          <w:lang w:val="en-US" w:eastAsia="zh-CN"/>
        </w:rPr>
      </w:pPr>
    </w:p>
    <w:p w14:paraId="13A62B67">
      <w:pPr>
        <w:spacing w:line="360" w:lineRule="auto"/>
        <w:jc w:val="center"/>
        <w:rPr>
          <w:rFonts w:hint="eastAsia" w:ascii="方正小标宋_GBK" w:hAnsi="方正小标宋_GBK" w:eastAsia="方正小标宋_GBK" w:cs="方正小标宋_GBK"/>
          <w:b w:val="0"/>
          <w:bCs/>
          <w:kern w:val="2"/>
          <w:sz w:val="36"/>
          <w:szCs w:val="28"/>
          <w:highlight w:val="none"/>
          <w:u w:val="single"/>
          <w:lang w:val="en-US" w:eastAsia="zh-CN" w:bidi="ar-SA"/>
        </w:rPr>
      </w:pPr>
      <w:r>
        <w:rPr>
          <w:rFonts w:hint="eastAsia" w:ascii="方正小标宋_GBK" w:hAnsi="方正小标宋_GBK" w:eastAsia="方正小标宋_GBK" w:cs="方正小标宋_GBK"/>
          <w:b w:val="0"/>
          <w:bCs/>
          <w:kern w:val="2"/>
          <w:sz w:val="36"/>
          <w:szCs w:val="28"/>
          <w:highlight w:val="none"/>
          <w:u w:val="single"/>
          <w:lang w:val="en-US" w:eastAsia="zh-CN" w:bidi="ar-SA"/>
        </w:rPr>
        <w:t>建湘工业文化街区计量产业“两会一展”厂房提质改造9#、10#、15#楼栋扩大劳务（专业工程）项目</w:t>
      </w:r>
    </w:p>
    <w:p w14:paraId="43DBBD1A">
      <w:pPr>
        <w:pStyle w:val="11"/>
        <w:ind w:left="0" w:leftChars="0" w:firstLine="0" w:firstLineChars="0"/>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highlight w:val="none"/>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bCs w:val="0"/>
          <w:sz w:val="40"/>
          <w:szCs w:val="32"/>
          <w:highlight w:val="none"/>
          <w:u w:val="single"/>
          <w:lang w:val="en-US" w:eastAsia="zh-CN"/>
        </w:rPr>
        <w:t>衡阳弘尊建筑工程有限公司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5DB2C86E">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五</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7</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12</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评标办法（经评审的最低投标价法）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48</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2"/>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2"/>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2"/>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2"/>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5A0F0C7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highlight w:val="none"/>
          <w:lang w:val="en-US" w:eastAsia="zh-CN" w:bidi="ar-SA"/>
        </w:rPr>
        <w:t>第一章  比选公告</w:t>
      </w:r>
    </w:p>
    <w:p w14:paraId="166E8BE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一、</w:t>
      </w:r>
      <w:r>
        <w:rPr>
          <w:rFonts w:hint="eastAsia" w:ascii="宋体" w:hAnsi="宋体" w:eastAsia="宋体" w:cs="宋体"/>
          <w:color w:val="auto"/>
          <w:kern w:val="2"/>
          <w:sz w:val="28"/>
          <w:szCs w:val="28"/>
          <w:highlight w:val="none"/>
          <w:u w:val="none"/>
          <w:lang w:val="en-US" w:eastAsia="zh-CN" w:bidi="ar-SA"/>
        </w:rPr>
        <w:t>项目概况</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1.</w:t>
      </w:r>
      <w:r>
        <w:rPr>
          <w:rFonts w:hint="eastAsia" w:ascii="宋体" w:hAnsi="宋体" w:cs="宋体"/>
          <w:color w:val="auto"/>
          <w:kern w:val="2"/>
          <w:sz w:val="28"/>
          <w:szCs w:val="28"/>
          <w:highlight w:val="none"/>
          <w:u w:val="none"/>
          <w:lang w:val="en-US" w:eastAsia="zh-CN" w:bidi="ar-SA"/>
        </w:rPr>
        <w:t>项目名称</w:t>
      </w:r>
      <w:r>
        <w:rPr>
          <w:rFonts w:hint="eastAsia" w:ascii="宋体" w:hAnsi="宋体" w:eastAsia="宋体" w:cs="宋体"/>
          <w:color w:val="auto"/>
          <w:kern w:val="2"/>
          <w:sz w:val="28"/>
          <w:szCs w:val="28"/>
          <w:highlight w:val="none"/>
          <w:u w:val="none"/>
          <w:lang w:val="en-US" w:eastAsia="zh-CN" w:bidi="ar-SA"/>
        </w:rPr>
        <w:t>：建湘工业文化街区计量产业“两会一展”厂房提质改造9#、10#、15#楼栋扩大劳务（专业工程）项目</w:t>
      </w:r>
    </w:p>
    <w:p w14:paraId="3EE1190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2.项目地点：衡阳市珠晖区湘见•建湘工业文化街区</w:t>
      </w:r>
    </w:p>
    <w:p w14:paraId="5E19564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3.计划施工</w:t>
      </w:r>
      <w:r>
        <w:rPr>
          <w:rFonts w:hint="eastAsia" w:ascii="宋体" w:hAnsi="宋体" w:cs="宋体"/>
          <w:color w:val="auto"/>
          <w:kern w:val="2"/>
          <w:sz w:val="28"/>
          <w:szCs w:val="28"/>
          <w:highlight w:val="none"/>
          <w:u w:val="none"/>
          <w:lang w:val="en-US" w:eastAsia="zh-CN" w:bidi="ar-SA"/>
        </w:rPr>
        <w:t>时间</w:t>
      </w:r>
      <w:r>
        <w:rPr>
          <w:rFonts w:hint="eastAsia" w:ascii="宋体" w:hAnsi="宋体" w:eastAsia="宋体" w:cs="宋体"/>
          <w:color w:val="auto"/>
          <w:kern w:val="2"/>
          <w:sz w:val="28"/>
          <w:szCs w:val="28"/>
          <w:highlight w:val="none"/>
          <w:u w:val="none"/>
          <w:lang w:val="en-US" w:eastAsia="zh-CN" w:bidi="ar-SA"/>
        </w:rPr>
        <w:t>：</w:t>
      </w:r>
      <w:r>
        <w:rPr>
          <w:rFonts w:hint="eastAsia" w:ascii="宋体" w:hAnsi="宋体" w:cs="宋体"/>
          <w:color w:val="auto"/>
          <w:kern w:val="2"/>
          <w:sz w:val="28"/>
          <w:szCs w:val="28"/>
          <w:highlight w:val="none"/>
          <w:u w:val="none"/>
          <w:lang w:val="en-US" w:eastAsia="zh-CN" w:bidi="ar-SA"/>
        </w:rPr>
        <w:t>30天</w:t>
      </w:r>
    </w:p>
    <w:p w14:paraId="20EEF86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4.招标人</w:t>
      </w:r>
      <w:r>
        <w:rPr>
          <w:rFonts w:hint="eastAsia" w:ascii="宋体" w:hAnsi="宋体" w:cs="宋体"/>
          <w:color w:val="auto"/>
          <w:kern w:val="2"/>
          <w:sz w:val="28"/>
          <w:szCs w:val="28"/>
          <w:highlight w:val="none"/>
          <w:u w:val="none"/>
          <w:lang w:val="en-US" w:eastAsia="zh-CN" w:bidi="ar-SA"/>
        </w:rPr>
        <w:t>：衡阳弘尊建筑工程有限公司</w:t>
      </w:r>
    </w:p>
    <w:p w14:paraId="3B360C0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二、招标内容和范围包括</w:t>
      </w:r>
    </w:p>
    <w:p w14:paraId="20498589">
      <w:pPr>
        <w:keepNext w:val="0"/>
        <w:keepLines w:val="0"/>
        <w:pageBreakBefore w:val="0"/>
        <w:kinsoku/>
        <w:wordWrap/>
        <w:overflowPunct/>
        <w:topLinePunct w:val="0"/>
        <w:autoSpaceDE/>
        <w:autoSpaceDN/>
        <w:bidi w:val="0"/>
        <w:adjustRightInd w:val="0"/>
        <w:snapToGrid w:val="0"/>
        <w:spacing w:line="560" w:lineRule="exact"/>
        <w:ind w:left="559" w:leftChars="266" w:firstLine="0" w:firstLineChars="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1.招标内容：计量产业“两会一展”所需场地厂房提质改造9#、10#、15#楼栋扩大劳务（专业工程）招标。</w:t>
      </w:r>
    </w:p>
    <w:p w14:paraId="2219009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2.范围及桩号：详见图纸</w:t>
      </w:r>
    </w:p>
    <w:p w14:paraId="7128E2D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3.主要工程量：详见工程量清单</w:t>
      </w:r>
    </w:p>
    <w:p w14:paraId="0BD5C7F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4.增值税税金的计算方法：</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一般计税方法</w:t>
      </w:r>
      <w:bookmarkStart w:id="0" w:name="EB19938269ba5945b19b09a63c5de3e33b"/>
      <w:r>
        <w:rPr>
          <w:rFonts w:hint="eastAsia" w:ascii="宋体" w:hAnsi="宋体" w:eastAsia="宋体" w:cs="宋体"/>
          <w:color w:val="auto"/>
          <w:kern w:val="2"/>
          <w:sz w:val="28"/>
          <w:szCs w:val="28"/>
          <w:highlight w:val="none"/>
          <w:u w:val="none"/>
          <w:lang w:val="en-US" w:eastAsia="zh-CN" w:bidi="ar-SA"/>
        </w:rPr>
        <w:t>□</w:t>
      </w:r>
      <w:bookmarkEnd w:id="0"/>
      <w:r>
        <w:rPr>
          <w:rFonts w:hint="eastAsia" w:ascii="宋体" w:hAnsi="宋体" w:eastAsia="宋体" w:cs="宋体"/>
          <w:color w:val="auto"/>
          <w:kern w:val="2"/>
          <w:sz w:val="28"/>
          <w:szCs w:val="28"/>
          <w:highlight w:val="none"/>
          <w:u w:val="none"/>
          <w:lang w:val="en-US" w:eastAsia="zh-CN" w:bidi="ar-SA"/>
        </w:rPr>
        <w:t>简易计税方法</w:t>
      </w:r>
    </w:p>
    <w:p w14:paraId="027C321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三、控制价</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本项目最高投标限价为1700884.96元。</w:t>
      </w:r>
    </w:p>
    <w:p w14:paraId="484BD52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一般计税项目须明确不含税价，简易计税中不能抵扣的工程须明确含税价。</w:t>
      </w:r>
    </w:p>
    <w:p w14:paraId="34B5B7A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四、投标人资格要求</w:t>
      </w:r>
    </w:p>
    <w:p w14:paraId="661FB17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1.投标人具有独立法人资格并依法取得营业执照、相应资质证书、安全生产许可证，并在有效期限内；</w:t>
      </w:r>
    </w:p>
    <w:p w14:paraId="3CFA485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2.投标人具备相应的资质：本次招标工作相对应建筑或市政工程劳务分包、专业分包、施工总承包资质；</w:t>
      </w:r>
    </w:p>
    <w:p w14:paraId="7AD3FAB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3.投标人注册资金不应低于人民币100万元；</w:t>
      </w:r>
    </w:p>
    <w:p w14:paraId="16E8F76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4.具有较强的技术力量、经济实力，并在人员、设备等方面具有承担本次招标工作劳务施工的能力；</w:t>
      </w:r>
    </w:p>
    <w:p w14:paraId="2F3404F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不提供。</w:t>
      </w:r>
    </w:p>
    <w:p w14:paraId="2800583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提供:近</w:t>
      </w:r>
      <w:r>
        <w:rPr>
          <w:rFonts w:hint="eastAsia" w:ascii="宋体" w:hAnsi="宋体" w:cs="宋体"/>
          <w:color w:val="auto"/>
          <w:kern w:val="2"/>
          <w:sz w:val="28"/>
          <w:szCs w:val="28"/>
          <w:highlight w:val="none"/>
          <w:u w:val="none"/>
          <w:lang w:val="en-US" w:eastAsia="zh-CN" w:bidi="ar-SA"/>
        </w:rPr>
        <w:t>3</w:t>
      </w:r>
      <w:r>
        <w:rPr>
          <w:rFonts w:hint="eastAsia" w:ascii="宋体" w:hAnsi="宋体" w:eastAsia="宋体" w:cs="宋体"/>
          <w:color w:val="auto"/>
          <w:kern w:val="2"/>
          <w:sz w:val="28"/>
          <w:szCs w:val="28"/>
          <w:highlight w:val="none"/>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202</w:t>
      </w:r>
      <w:r>
        <w:rPr>
          <w:rFonts w:hint="eastAsia" w:ascii="宋体" w:hAnsi="宋体" w:cs="宋体"/>
          <w:color w:val="auto"/>
          <w:spacing w:val="15"/>
          <w:kern w:val="0"/>
          <w:sz w:val="28"/>
          <w:szCs w:val="28"/>
          <w:highlight w:val="none"/>
          <w:u w:val="single"/>
          <w:lang w:val="en-US" w:eastAsia="zh-CN"/>
        </w:rPr>
        <w:t>2</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2025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highlight w:val="none"/>
          <w:lang w:val="en-US" w:eastAsia="zh-CN" w:bidi="ar-SA"/>
        </w:rPr>
        <w:t>）不少于</w:t>
      </w:r>
      <w:r>
        <w:rPr>
          <w:rFonts w:hint="eastAsia" w:ascii="宋体" w:hAnsi="宋体" w:eastAsia="宋体" w:cs="宋体"/>
          <w:color w:val="auto"/>
          <w:kern w:val="2"/>
          <w:sz w:val="28"/>
          <w:szCs w:val="28"/>
          <w:highlight w:val="none"/>
          <w:u w:val="single"/>
          <w:lang w:val="en-US" w:eastAsia="zh-CN" w:bidi="ar-SA"/>
        </w:rPr>
        <w:t xml:space="preserve"> 1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建筑或市政</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类似项目业绩。</w:t>
      </w:r>
    </w:p>
    <w:p w14:paraId="413DC6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lang w:val="en-US" w:eastAsia="zh-CN" w:bidi="ar-SA"/>
        </w:rPr>
        <w:t>类似项目业绩是指:</w:t>
      </w:r>
      <w:r>
        <w:rPr>
          <w:rFonts w:hint="eastAsia" w:ascii="宋体" w:hAnsi="宋体" w:cs="宋体"/>
          <w:color w:val="auto"/>
          <w:spacing w:val="15"/>
          <w:kern w:val="0"/>
          <w:sz w:val="28"/>
          <w:szCs w:val="28"/>
          <w:highlight w:val="none"/>
          <w:u w:val="single"/>
          <w:lang w:val="en-US" w:eastAsia="zh-CN"/>
        </w:rPr>
        <w:t>建筑或市政</w:t>
      </w:r>
      <w:r>
        <w:rPr>
          <w:rFonts w:hint="eastAsia" w:ascii="宋体" w:hAnsi="宋体" w:eastAsia="宋体" w:cs="宋体"/>
          <w:color w:val="auto"/>
          <w:spacing w:val="15"/>
          <w:kern w:val="0"/>
          <w:sz w:val="28"/>
          <w:szCs w:val="28"/>
          <w:highlight w:val="none"/>
          <w:u w:val="single"/>
          <w:lang w:val="en-US" w:eastAsia="zh-CN"/>
        </w:rPr>
        <w:t>相关</w:t>
      </w:r>
      <w:r>
        <w:rPr>
          <w:rFonts w:hint="eastAsia" w:ascii="宋体" w:hAnsi="宋体" w:cs="宋体"/>
          <w:color w:val="auto"/>
          <w:spacing w:val="15"/>
          <w:kern w:val="0"/>
          <w:sz w:val="28"/>
          <w:szCs w:val="28"/>
          <w:highlight w:val="none"/>
          <w:u w:val="single"/>
          <w:lang w:val="en-US" w:eastAsia="zh-CN"/>
        </w:rPr>
        <w:t>工程业绩</w:t>
      </w:r>
      <w:r>
        <w:rPr>
          <w:rFonts w:hint="eastAsia" w:ascii="宋体" w:hAnsi="宋体" w:eastAsia="宋体" w:cs="宋体"/>
          <w:color w:val="auto"/>
          <w:kern w:val="2"/>
          <w:sz w:val="28"/>
          <w:szCs w:val="28"/>
          <w:highlight w:val="none"/>
          <w:u w:val="none"/>
          <w:lang w:val="en-US" w:eastAsia="zh-CN" w:bidi="ar-SA"/>
        </w:rPr>
        <w:t>。</w:t>
      </w:r>
    </w:p>
    <w:p w14:paraId="127B6F5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业绩证明材料须提供合同、交（竣）工验收证明或结算单两种资料。</w:t>
      </w:r>
    </w:p>
    <w:p w14:paraId="588D4E6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eastAsia="zh-CN" w:bidi="ar-SA"/>
        </w:rPr>
        <w:t>5</w:t>
      </w:r>
      <w:r>
        <w:rPr>
          <w:rFonts w:hint="eastAsia" w:ascii="宋体" w:hAnsi="宋体" w:eastAsia="宋体" w:cs="宋体"/>
          <w:color w:val="auto"/>
          <w:kern w:val="2"/>
          <w:sz w:val="28"/>
          <w:szCs w:val="28"/>
          <w:highlight w:val="none"/>
          <w:u w:val="none"/>
          <w:lang w:val="en-US" w:eastAsia="zh-CN" w:bidi="ar-SA"/>
        </w:rPr>
        <w:t>.项目负责人要求：</w:t>
      </w:r>
    </w:p>
    <w:p w14:paraId="1CEF549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不提供。</w:t>
      </w:r>
    </w:p>
    <w:p w14:paraId="5E0238C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 xml:space="preserve">□提供:拟任项目负责人须具有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年</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月至</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年</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月）的社保证明。</w:t>
      </w:r>
    </w:p>
    <w:p w14:paraId="2E85E38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highlight w:val="none"/>
          <w:u w:val="none"/>
          <w:lang w:val="en-US" w:eastAsia="zh-CN" w:bidi="ar-SA"/>
        </w:rPr>
        <w:fldChar w:fldCharType="begin"/>
      </w:r>
      <w:r>
        <w:rPr>
          <w:rFonts w:hint="eastAsia" w:ascii="宋体" w:hAnsi="宋体" w:eastAsia="宋体" w:cs="宋体"/>
          <w:color w:val="auto"/>
          <w:kern w:val="2"/>
          <w:sz w:val="28"/>
          <w:szCs w:val="28"/>
          <w:highlight w:val="none"/>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highlight w:val="none"/>
          <w:u w:val="none"/>
          <w:lang w:val="en-US" w:eastAsia="zh-CN" w:bidi="ar-SA"/>
        </w:rPr>
        <w:fldChar w:fldCharType="separate"/>
      </w:r>
      <w:r>
        <w:rPr>
          <w:rFonts w:hint="eastAsia" w:ascii="宋体" w:hAnsi="宋体" w:eastAsia="宋体" w:cs="宋体"/>
          <w:color w:val="auto"/>
          <w:kern w:val="2"/>
          <w:sz w:val="28"/>
          <w:szCs w:val="28"/>
          <w:highlight w:val="none"/>
          <w:u w:val="none"/>
          <w:lang w:val="en-US" w:eastAsia="zh-CN" w:bidi="ar-SA"/>
        </w:rPr>
        <w:t>www.creditchina.gov.cn）信用信息共享平台的信用查询截图。</w:t>
      </w:r>
      <w:r>
        <w:rPr>
          <w:rFonts w:hint="eastAsia" w:ascii="宋体" w:hAnsi="宋体" w:eastAsia="宋体" w:cs="宋体"/>
          <w:color w:val="auto"/>
          <w:kern w:val="2"/>
          <w:sz w:val="28"/>
          <w:szCs w:val="28"/>
          <w:highlight w:val="none"/>
          <w:u w:val="none"/>
          <w:lang w:val="en-US" w:eastAsia="zh-CN" w:bidi="ar-SA"/>
        </w:rPr>
        <w:fldChar w:fldCharType="end"/>
      </w:r>
      <w:r>
        <w:rPr>
          <w:rFonts w:hint="eastAsia" w:ascii="宋体" w:hAnsi="宋体" w:eastAsia="宋体" w:cs="宋体"/>
          <w:color w:val="auto"/>
          <w:kern w:val="2"/>
          <w:sz w:val="28"/>
          <w:szCs w:val="28"/>
          <w:highlight w:val="none"/>
          <w:u w:val="none"/>
          <w:lang w:val="en-US" w:eastAsia="zh-CN" w:bidi="ar-SA"/>
        </w:rPr>
        <w:t>参选单位在近三年内与衡阳路桥无诉讼、仲裁、结算纠纷；</w:t>
      </w:r>
    </w:p>
    <w:p w14:paraId="09028F9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highlight w:val="none"/>
          <w:lang w:val="en-US" w:eastAsia="zh-CN" w:bidi="ar-SA"/>
        </w:rPr>
      </w:pPr>
      <w:r>
        <w:rPr>
          <w:rFonts w:hint="eastAsia" w:ascii="宋体" w:hAnsi="宋体" w:eastAsia="宋体" w:cs="宋体"/>
          <w:b w:val="0"/>
          <w:bCs w:val="0"/>
          <w:color w:val="auto"/>
          <w:spacing w:val="0"/>
          <w:kern w:val="2"/>
          <w:position w:val="0"/>
          <w:sz w:val="28"/>
          <w:szCs w:val="28"/>
          <w:highlight w:val="none"/>
          <w:lang w:val="en-US" w:eastAsia="zh-CN" w:bidi="ar-SA"/>
        </w:rPr>
        <w:t>7.关联要求：参选单位法定代表人为同一人或者存在直接控股、管理关系的不同参选人，不得同时参加本次比选。</w:t>
      </w:r>
    </w:p>
    <w:p w14:paraId="1E68B24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8.联合体要求：本次比选不接受联合体参加。</w:t>
      </w:r>
    </w:p>
    <w:p w14:paraId="5FD1D95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9</w:t>
      </w:r>
      <w:r>
        <w:rPr>
          <w:rFonts w:hint="eastAsia" w:ascii="宋体" w:hAnsi="宋体" w:eastAsia="宋体" w:cs="宋体"/>
          <w:color w:val="auto"/>
          <w:kern w:val="2"/>
          <w:sz w:val="28"/>
          <w:szCs w:val="28"/>
          <w:highlight w:val="none"/>
          <w:u w:val="none"/>
          <w:lang w:val="en-US" w:eastAsia="zh-CN" w:bidi="ar-SA"/>
        </w:rPr>
        <w:t>.增值税要求：</w:t>
      </w:r>
    </w:p>
    <w:p w14:paraId="359000B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投标人为</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一般纳税人，□小规模纳税人</w:t>
      </w:r>
    </w:p>
    <w:p w14:paraId="59D2B5C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本次招标的工程增值税税率按合同执行。</w:t>
      </w:r>
    </w:p>
    <w:p w14:paraId="12173631">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b/>
          <w:bCs/>
          <w:i w:val="0"/>
          <w:iCs w:val="0"/>
          <w:caps w:val="0"/>
          <w:color w:val="666666"/>
          <w:spacing w:val="0"/>
          <w:sz w:val="28"/>
          <w:szCs w:val="28"/>
          <w:highlight w:val="none"/>
          <w:shd w:val="clear" w:fill="FFFFFF"/>
          <w:lang w:val="en-US" w:eastAsia="zh-CN"/>
        </w:rPr>
        <w:t>10</w:t>
      </w:r>
      <w:r>
        <w:rPr>
          <w:rFonts w:hint="eastAsia" w:ascii="宋体" w:hAnsi="宋体" w:eastAsia="宋体" w:cs="宋体"/>
          <w:b/>
          <w:bCs/>
          <w:i w:val="0"/>
          <w:iCs w:val="0"/>
          <w:caps w:val="0"/>
          <w:color w:val="666666"/>
          <w:spacing w:val="0"/>
          <w:sz w:val="28"/>
          <w:szCs w:val="28"/>
          <w:highlight w:val="none"/>
          <w:shd w:val="clear" w:fill="FFFFFF"/>
          <w:lang w:eastAsia="zh-CN"/>
        </w:rPr>
        <w:t>.</w:t>
      </w:r>
      <w:r>
        <w:rPr>
          <w:rFonts w:hint="eastAsia" w:ascii="宋体" w:hAnsi="宋体" w:eastAsia="宋体" w:cs="宋体"/>
          <w:color w:val="auto"/>
          <w:kern w:val="2"/>
          <w:sz w:val="28"/>
          <w:szCs w:val="28"/>
          <w:highlight w:val="none"/>
          <w:u w:val="none"/>
          <w:lang w:val="en-US" w:eastAsia="zh-CN" w:bidi="ar-SA"/>
        </w:rPr>
        <w:t>其他要求：</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en-US" w:eastAsia="zh-CN" w:bidi="ar-SA"/>
        </w:rPr>
        <w:t>/</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w:t>
      </w:r>
    </w:p>
    <w:p w14:paraId="3ED86D45">
      <w:pPr>
        <w:pStyle w:val="2"/>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五、招标比选文件的获取</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xml:space="preserve">  </w:t>
      </w:r>
      <w:r>
        <w:rPr>
          <w:rFonts w:hint="eastAsia" w:ascii="宋体" w:hAnsi="宋体" w:cs="宋体"/>
          <w:color w:val="auto"/>
          <w:kern w:val="2"/>
          <w:sz w:val="28"/>
          <w:szCs w:val="28"/>
          <w:highlight w:val="none"/>
          <w:u w:val="none"/>
          <w:lang w:val="en-US" w:eastAsia="zh-CN" w:bidi="ar-SA"/>
        </w:rPr>
        <w:t>5.1</w:t>
      </w:r>
      <w:r>
        <w:rPr>
          <w:rFonts w:hint="eastAsia" w:ascii="宋体" w:hAnsi="宋体" w:eastAsia="宋体" w:cs="宋体"/>
          <w:color w:val="auto"/>
          <w:kern w:val="2"/>
          <w:sz w:val="28"/>
          <w:szCs w:val="28"/>
          <w:highlight w:val="none"/>
          <w:u w:val="none"/>
          <w:lang w:val="en-US" w:eastAsia="zh-CN" w:bidi="ar-SA"/>
        </w:rPr>
        <w:t>凡有意参加比选的参选单位，请在衡阳市国有资产投资控股</w:t>
      </w:r>
      <w:r>
        <w:rPr>
          <w:rFonts w:hint="eastAsia" w:ascii="宋体" w:hAnsi="宋体" w:cs="宋体"/>
          <w:color w:val="auto"/>
          <w:kern w:val="2"/>
          <w:sz w:val="28"/>
          <w:szCs w:val="28"/>
          <w:highlight w:val="none"/>
          <w:u w:val="none"/>
          <w:lang w:val="en-US" w:eastAsia="zh-CN" w:bidi="ar-SA"/>
        </w:rPr>
        <w:t>集团</w:t>
      </w:r>
      <w:r>
        <w:rPr>
          <w:rFonts w:hint="eastAsia" w:ascii="宋体" w:hAnsi="宋体" w:eastAsia="宋体" w:cs="宋体"/>
          <w:color w:val="auto"/>
          <w:kern w:val="2"/>
          <w:sz w:val="28"/>
          <w:szCs w:val="28"/>
          <w:highlight w:val="none"/>
          <w:u w:val="none"/>
          <w:lang w:val="en-US" w:eastAsia="zh-CN" w:bidi="ar-SA"/>
        </w:rPr>
        <w:t>有限公司官方网站（www.hxamc.com）和衡阳公路桥梁建设有限公司官方网站（www.hylqgs.com）上下载比选文件，并按照比选文件要求参与比选。</w:t>
      </w:r>
    </w:p>
    <w:p w14:paraId="3A2BCA00">
      <w:pPr>
        <w:ind w:firstLine="560" w:firstLineChars="200"/>
        <w:rPr>
          <w:rFonts w:hint="eastAsia" w:ascii="宋体" w:hAnsi="宋体" w:eastAsia="宋体" w:cs="宋体"/>
          <w:spacing w:val="0"/>
          <w:position w:val="0"/>
          <w:sz w:val="28"/>
          <w:szCs w:val="28"/>
          <w:highlight w:val="none"/>
          <w:lang w:val="en-US" w:eastAsia="zh-CN"/>
        </w:rPr>
      </w:pPr>
      <w:r>
        <w:rPr>
          <w:rFonts w:hint="eastAsia" w:ascii="宋体" w:hAnsi="宋体" w:eastAsia="宋体" w:cs="宋体"/>
          <w:color w:val="auto"/>
          <w:kern w:val="2"/>
          <w:sz w:val="28"/>
          <w:szCs w:val="28"/>
          <w:highlight w:val="none"/>
          <w:u w:val="none"/>
          <w:lang w:val="en-US" w:eastAsia="zh-CN" w:bidi="ar-SA"/>
        </w:rPr>
        <w:t>六、投标保证金</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w:t>
      </w:r>
      <w:r>
        <w:rPr>
          <w:rFonts w:hint="eastAsia" w:ascii="宋体" w:hAnsi="宋体" w:eastAsia="宋体" w:cs="宋体"/>
          <w:spacing w:val="0"/>
          <w:position w:val="0"/>
          <w:sz w:val="28"/>
          <w:szCs w:val="28"/>
          <w:highlight w:val="none"/>
          <w:lang w:val="en-US" w:eastAsia="zh-CN"/>
        </w:rPr>
        <w:t>本次比选的投标保证金为</w:t>
      </w:r>
      <w:r>
        <w:rPr>
          <w:rFonts w:hint="eastAsia" w:ascii="宋体" w:hAnsi="宋体" w:eastAsia="宋体" w:cs="宋体"/>
          <w:spacing w:val="0"/>
          <w:position w:val="0"/>
          <w:sz w:val="28"/>
          <w:szCs w:val="28"/>
          <w:highlight w:val="none"/>
          <w:u w:val="single"/>
          <w:lang w:val="en-US" w:eastAsia="zh-CN"/>
        </w:rPr>
        <w:t xml:space="preserve">  </w:t>
      </w:r>
      <w:r>
        <w:rPr>
          <w:rFonts w:hint="eastAsia" w:ascii="宋体" w:hAnsi="宋体" w:cs="宋体"/>
          <w:spacing w:val="0"/>
          <w:position w:val="0"/>
          <w:sz w:val="28"/>
          <w:szCs w:val="28"/>
          <w:highlight w:val="none"/>
          <w:u w:val="single"/>
          <w:lang w:val="en-US" w:eastAsia="zh-CN"/>
        </w:rPr>
        <w:t>叁</w:t>
      </w:r>
      <w:r>
        <w:rPr>
          <w:rFonts w:hint="eastAsia" w:ascii="宋体" w:hAnsi="宋体" w:eastAsia="宋体" w:cs="宋体"/>
          <w:spacing w:val="0"/>
          <w:position w:val="0"/>
          <w:sz w:val="28"/>
          <w:szCs w:val="28"/>
          <w:highlight w:val="none"/>
          <w:u w:val="single"/>
          <w:lang w:val="en-US" w:eastAsia="zh-CN"/>
        </w:rPr>
        <w:t xml:space="preserve">万  </w:t>
      </w:r>
      <w:r>
        <w:rPr>
          <w:rFonts w:hint="eastAsia" w:ascii="宋体" w:hAnsi="宋体" w:eastAsia="宋体" w:cs="宋体"/>
          <w:spacing w:val="0"/>
          <w:position w:val="0"/>
          <w:sz w:val="28"/>
          <w:szCs w:val="28"/>
          <w:highlight w:val="none"/>
          <w:lang w:val="en-US" w:eastAsia="zh-CN"/>
        </w:rPr>
        <w:t>元，采用保函形式（银行保函或担保公司保函）。</w:t>
      </w:r>
    </w:p>
    <w:p w14:paraId="78B9700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highlight w:val="none"/>
          <w:lang w:val="en-US" w:eastAsia="zh-CN" w:bidi="ar-SA"/>
        </w:rPr>
      </w:pPr>
      <w:r>
        <w:rPr>
          <w:rFonts w:hint="eastAsia" w:ascii="宋体" w:hAnsi="宋体" w:eastAsia="宋体" w:cs="宋体"/>
          <w:color w:val="auto"/>
          <w:kern w:val="2"/>
          <w:sz w:val="28"/>
          <w:szCs w:val="28"/>
          <w:highlight w:val="none"/>
          <w:u w:val="none"/>
          <w:lang w:val="en-US" w:eastAsia="zh-CN" w:bidi="ar-SA"/>
        </w:rPr>
        <w:t>七、开标时间及地点</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i w:val="0"/>
          <w:iCs w:val="0"/>
          <w:caps w:val="0"/>
          <w:color w:val="666666"/>
          <w:spacing w:val="0"/>
          <w:sz w:val="28"/>
          <w:szCs w:val="28"/>
          <w:highlight w:val="none"/>
          <w:shd w:val="clear" w:fill="FFFFFF"/>
          <w:lang w:val="en-US" w:eastAsia="zh-CN"/>
        </w:rPr>
        <w:t>  </w:t>
      </w:r>
      <w:r>
        <w:rPr>
          <w:rFonts w:hint="eastAsia" w:ascii="宋体" w:hAnsi="宋体" w:eastAsia="宋体" w:cs="宋体"/>
          <w:b w:val="0"/>
          <w:bCs w:val="0"/>
          <w:spacing w:val="0"/>
          <w:kern w:val="2"/>
          <w:position w:val="0"/>
          <w:sz w:val="28"/>
          <w:szCs w:val="28"/>
          <w:highlight w:val="none"/>
          <w:lang w:val="en-US" w:eastAsia="zh-CN" w:bidi="ar-SA"/>
        </w:rPr>
        <w:t>本项目拟定于2025年5月1</w:t>
      </w:r>
      <w:r>
        <w:rPr>
          <w:rFonts w:hint="eastAsia" w:ascii="宋体" w:hAnsi="宋体" w:cs="宋体"/>
          <w:b w:val="0"/>
          <w:bCs w:val="0"/>
          <w:spacing w:val="0"/>
          <w:kern w:val="2"/>
          <w:position w:val="0"/>
          <w:sz w:val="28"/>
          <w:szCs w:val="28"/>
          <w:highlight w:val="none"/>
          <w:lang w:val="en-US" w:eastAsia="zh-CN" w:bidi="ar-SA"/>
        </w:rPr>
        <w:t>6</w:t>
      </w:r>
      <w:r>
        <w:rPr>
          <w:rFonts w:hint="eastAsia" w:ascii="宋体" w:hAnsi="宋体" w:eastAsia="宋体" w:cs="宋体"/>
          <w:b w:val="0"/>
          <w:bCs w:val="0"/>
          <w:spacing w:val="0"/>
          <w:kern w:val="2"/>
          <w:position w:val="0"/>
          <w:sz w:val="28"/>
          <w:szCs w:val="28"/>
          <w:highlight w:val="none"/>
          <w:lang w:val="en-US" w:eastAsia="zh-CN" w:bidi="ar-SA"/>
        </w:rPr>
        <w:t>日1</w:t>
      </w:r>
      <w:r>
        <w:rPr>
          <w:rFonts w:hint="eastAsia" w:ascii="宋体" w:hAnsi="宋体" w:cs="宋体"/>
          <w:b w:val="0"/>
          <w:bCs w:val="0"/>
          <w:spacing w:val="0"/>
          <w:kern w:val="2"/>
          <w:position w:val="0"/>
          <w:sz w:val="28"/>
          <w:szCs w:val="28"/>
          <w:highlight w:val="none"/>
          <w:lang w:val="en-US" w:eastAsia="zh-CN" w:bidi="ar-SA"/>
        </w:rPr>
        <w:t>0</w:t>
      </w:r>
      <w:r>
        <w:rPr>
          <w:rFonts w:hint="eastAsia" w:ascii="宋体" w:hAnsi="宋体" w:eastAsia="宋体" w:cs="宋体"/>
          <w:b w:val="0"/>
          <w:bCs w:val="0"/>
          <w:spacing w:val="0"/>
          <w:kern w:val="2"/>
          <w:position w:val="0"/>
          <w:sz w:val="28"/>
          <w:szCs w:val="28"/>
          <w:highlight w:val="none"/>
          <w:lang w:val="en-US" w:eastAsia="zh-CN" w:bidi="ar-SA"/>
        </w:rPr>
        <w:t>时</w:t>
      </w:r>
      <w:r>
        <w:rPr>
          <w:rFonts w:hint="eastAsia" w:ascii="宋体" w:hAnsi="宋体" w:cs="宋体"/>
          <w:b w:val="0"/>
          <w:bCs w:val="0"/>
          <w:spacing w:val="0"/>
          <w:kern w:val="2"/>
          <w:position w:val="0"/>
          <w:sz w:val="28"/>
          <w:szCs w:val="28"/>
          <w:highlight w:val="none"/>
          <w:lang w:val="en-US" w:eastAsia="zh-CN" w:bidi="ar-SA"/>
        </w:rPr>
        <w:t>3</w:t>
      </w:r>
      <w:r>
        <w:rPr>
          <w:rFonts w:hint="eastAsia" w:ascii="宋体" w:hAnsi="宋体" w:eastAsia="宋体" w:cs="宋体"/>
          <w:b w:val="0"/>
          <w:bCs w:val="0"/>
          <w:spacing w:val="0"/>
          <w:kern w:val="2"/>
          <w:position w:val="0"/>
          <w:sz w:val="28"/>
          <w:szCs w:val="28"/>
          <w:highlight w:val="none"/>
          <w:lang w:val="en-US" w:eastAsia="zh-CN" w:bidi="ar-SA"/>
        </w:rPr>
        <w:t>0分在衡阳市国有资产投资控股集团有限公司4栋3楼评标室开标，如有变动将提前一天另行通知。</w:t>
      </w:r>
    </w:p>
    <w:p w14:paraId="50AC2747">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highlight w:val="none"/>
          <w:lang w:val="en-US" w:eastAsia="zh-CN"/>
        </w:rPr>
      </w:pPr>
      <w:r>
        <w:rPr>
          <w:rFonts w:hint="eastAsia" w:ascii="宋体" w:hAnsi="宋体" w:eastAsia="宋体" w:cs="宋体"/>
          <w:b w:val="0"/>
          <w:bCs w:val="0"/>
          <w:spacing w:val="0"/>
          <w:position w:val="0"/>
          <w:sz w:val="28"/>
          <w:szCs w:val="28"/>
          <w:highlight w:val="none"/>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0F934814">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2.逾期送达的或者未送达指定地点的参选文件，比选人不予受理。</w:t>
      </w:r>
    </w:p>
    <w:p w14:paraId="26A2582E">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cstheme="minorEastAsia"/>
          <w:b w:val="0"/>
          <w:bCs w:val="0"/>
          <w:spacing w:val="0"/>
          <w:position w:val="0"/>
          <w:sz w:val="28"/>
          <w:szCs w:val="28"/>
          <w:highlight w:val="none"/>
          <w:lang w:val="en-US" w:eastAsia="zh-CN"/>
        </w:rPr>
        <w:t>八</w:t>
      </w:r>
      <w:r>
        <w:rPr>
          <w:rFonts w:hint="eastAsia" w:asciiTheme="minorEastAsia" w:hAnsiTheme="minorEastAsia" w:eastAsiaTheme="minorEastAsia" w:cstheme="minorEastAsia"/>
          <w:b w:val="0"/>
          <w:bCs w:val="0"/>
          <w:spacing w:val="0"/>
          <w:position w:val="0"/>
          <w:sz w:val="28"/>
          <w:szCs w:val="28"/>
          <w:highlight w:val="none"/>
          <w:lang w:val="en-US" w:eastAsia="zh-CN"/>
        </w:rPr>
        <w:t>、发布公告的媒介</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本次比选公告在衡阳市国有资产投资控股集团有限公司官方网站（www.hxamc.com）和衡阳公路桥梁建设有限公司官方网站（www.hylqgs.com）上发布。</w:t>
      </w:r>
    </w:p>
    <w:p w14:paraId="7358564A">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eastAsia" w:asciiTheme="minorEastAsia" w:hAnsiTheme="minorEastAsia" w:cstheme="minorEastAsia"/>
          <w:b w:val="0"/>
          <w:bCs w:val="0"/>
          <w:spacing w:val="0"/>
          <w:position w:val="0"/>
          <w:sz w:val="28"/>
          <w:szCs w:val="28"/>
          <w:highlight w:val="none"/>
          <w:lang w:val="en-US" w:eastAsia="zh-CN"/>
        </w:rPr>
      </w:pPr>
      <w:r>
        <w:rPr>
          <w:rFonts w:hint="eastAsia" w:asciiTheme="minorEastAsia" w:hAnsiTheme="minorEastAsia" w:cstheme="minorEastAsia"/>
          <w:b w:val="0"/>
          <w:bCs w:val="0"/>
          <w:spacing w:val="0"/>
          <w:position w:val="0"/>
          <w:sz w:val="28"/>
          <w:szCs w:val="28"/>
          <w:highlight w:val="none"/>
          <w:lang w:val="en-US" w:eastAsia="zh-CN"/>
        </w:rPr>
        <w:t>九</w:t>
      </w:r>
      <w:r>
        <w:rPr>
          <w:rFonts w:hint="eastAsia" w:asciiTheme="minorEastAsia" w:hAnsiTheme="minorEastAsia" w:eastAsiaTheme="minorEastAsia" w:cstheme="minorEastAsia"/>
          <w:b w:val="0"/>
          <w:bCs w:val="0"/>
          <w:spacing w:val="0"/>
          <w:position w:val="0"/>
          <w:sz w:val="28"/>
          <w:szCs w:val="28"/>
          <w:highlight w:val="none"/>
          <w:lang w:val="en-US" w:eastAsia="zh-CN"/>
        </w:rPr>
        <w:t>、联系方式</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招 标 人：</w:t>
      </w:r>
      <w:r>
        <w:rPr>
          <w:rFonts w:hint="eastAsia" w:ascii="宋体" w:hAnsi="宋体" w:eastAsia="宋体" w:cs="宋体"/>
          <w:spacing w:val="0"/>
          <w:position w:val="0"/>
          <w:sz w:val="28"/>
          <w:szCs w:val="28"/>
          <w:highlight w:val="none"/>
          <w:lang w:val="en-US" w:eastAsia="zh-CN"/>
        </w:rPr>
        <w:t>衡阳弘尊建筑工程有限公司</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地 址：</w:t>
      </w:r>
      <w:r>
        <w:rPr>
          <w:rFonts w:hint="eastAsia" w:asciiTheme="minorEastAsia" w:hAnsiTheme="minorEastAsia" w:cstheme="minorEastAsia"/>
          <w:b w:val="0"/>
          <w:bCs w:val="0"/>
          <w:spacing w:val="0"/>
          <w:position w:val="0"/>
          <w:sz w:val="28"/>
          <w:szCs w:val="28"/>
          <w:highlight w:val="none"/>
          <w:lang w:val="en-US" w:eastAsia="zh-CN"/>
        </w:rPr>
        <w:t>衡阳市珠晖区湘见</w:t>
      </w:r>
      <w:r>
        <w:rPr>
          <w:rFonts w:hint="eastAsia" w:eastAsia="宋体" w:asciiTheme="minorEastAsia" w:hAnsiTheme="minorEastAsia" w:cstheme="minorEastAsia"/>
          <w:b w:val="0"/>
          <w:bCs w:val="0"/>
          <w:spacing w:val="0"/>
          <w:position w:val="0"/>
          <w:sz w:val="28"/>
          <w:szCs w:val="28"/>
          <w:highlight w:val="none"/>
          <w:lang w:val="en-US" w:eastAsia="zh-CN"/>
        </w:rPr>
        <w:t>•建湘工</w:t>
      </w:r>
      <w:r>
        <w:rPr>
          <w:rFonts w:hint="eastAsia" w:asciiTheme="minorEastAsia" w:hAnsiTheme="minorEastAsia" w:cstheme="minorEastAsia"/>
          <w:b w:val="0"/>
          <w:bCs w:val="0"/>
          <w:spacing w:val="0"/>
          <w:position w:val="0"/>
          <w:sz w:val="28"/>
          <w:szCs w:val="28"/>
          <w:highlight w:val="none"/>
          <w:lang w:val="en-US" w:eastAsia="zh-CN"/>
        </w:rPr>
        <w:t>业文化街区</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联 系 人：</w:t>
      </w:r>
      <w:r>
        <w:rPr>
          <w:rFonts w:hint="eastAsia" w:asciiTheme="minorEastAsia" w:hAnsiTheme="minorEastAsia" w:cstheme="minorEastAsia"/>
          <w:b w:val="0"/>
          <w:bCs w:val="0"/>
          <w:spacing w:val="0"/>
          <w:position w:val="0"/>
          <w:sz w:val="28"/>
          <w:szCs w:val="28"/>
          <w:highlight w:val="none"/>
          <w:lang w:val="en-US" w:eastAsia="zh-CN"/>
        </w:rPr>
        <w:t>肖棋</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联系电话：</w:t>
      </w:r>
      <w:r>
        <w:rPr>
          <w:rFonts w:hint="eastAsia" w:asciiTheme="minorEastAsia" w:hAnsiTheme="minorEastAsia" w:cstheme="minorEastAsia"/>
          <w:b w:val="0"/>
          <w:bCs w:val="0"/>
          <w:spacing w:val="0"/>
          <w:position w:val="0"/>
          <w:sz w:val="28"/>
          <w:szCs w:val="28"/>
          <w:highlight w:val="none"/>
          <w:lang w:val="en-US" w:eastAsia="zh-CN"/>
        </w:rPr>
        <w:t>13617335853</w:t>
      </w:r>
    </w:p>
    <w:p w14:paraId="3C29C6DD">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559" w:leftChars="266" w:right="0" w:firstLine="0" w:firstLineChars="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十、监督</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监督单位：衡阳公路桥梁建设有限公司纪检监察室</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地 址：衡阳市蒸湘区解放路1号财富大厦18楼1805室</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联系人：阳骞</w:t>
      </w:r>
    </w:p>
    <w:p w14:paraId="7BCD508D">
      <w:pPr>
        <w:pStyle w:val="2"/>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电  话：13974720916</w:t>
      </w:r>
    </w:p>
    <w:p w14:paraId="2F622557">
      <w:pPr>
        <w:rPr>
          <w:rFonts w:hint="eastAsia"/>
          <w:color w:val="000000" w:themeColor="text1"/>
          <w:sz w:val="24"/>
          <w:szCs w:val="32"/>
          <w:highlight w:val="none"/>
          <w:lang w:val="en-US" w:eastAsia="zh-CN"/>
          <w14:textFill>
            <w14:solidFill>
              <w14:schemeClr w14:val="tx1"/>
            </w14:solidFill>
          </w14:textFill>
        </w:rPr>
      </w:pPr>
    </w:p>
    <w:p w14:paraId="707E99EE">
      <w:pPr>
        <w:rPr>
          <w:rFonts w:hint="default" w:ascii="Calibri" w:hAnsi="Calibri" w:eastAsia="方正小标宋简体" w:cs="Times New Roman"/>
          <w:bCs/>
          <w:color w:val="000000" w:themeColor="text1"/>
          <w:kern w:val="44"/>
          <w:sz w:val="52"/>
          <w:szCs w:val="52"/>
          <w:highlight w:val="none"/>
          <w:lang w:val="en-US" w:eastAsia="zh-CN" w:bidi="ar-SA"/>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w:t>
      </w:r>
      <w:r>
        <w:rPr>
          <w:rFonts w:hint="default"/>
          <w:color w:val="000000" w:themeColor="text1"/>
          <w:sz w:val="24"/>
          <w:szCs w:val="32"/>
          <w:highlight w:val="none"/>
          <w:lang w:val="en-US" w:eastAsia="zh-CN"/>
          <w14:textFill>
            <w14:solidFill>
              <w14:schemeClr w14:val="tx1"/>
            </w14:solidFill>
          </w14:textFill>
        </w:rPr>
        <w:t>附件  设计图</w:t>
      </w:r>
      <w:r>
        <w:rPr>
          <w:rFonts w:hint="eastAsia"/>
          <w:color w:val="000000" w:themeColor="text1"/>
          <w:sz w:val="24"/>
          <w:szCs w:val="32"/>
          <w:highlight w:val="none"/>
          <w:lang w:val="en-US" w:eastAsia="zh-CN"/>
          <w14:textFill>
            <w14:solidFill>
              <w14:schemeClr w14:val="tx1"/>
            </w14:solidFill>
          </w14:textFill>
        </w:rPr>
        <w:t>纸</w:t>
      </w:r>
    </w:p>
    <w:p w14:paraId="6B929BD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0FC204FB">
      <w:pPr>
        <w:pStyle w:val="16"/>
        <w:rPr>
          <w:rFonts w:hint="eastAsia" w:ascii="Calibri" w:hAnsi="Calibri" w:eastAsia="方正小标宋简体" w:cs="Times New Roman"/>
          <w:bCs/>
          <w:kern w:val="44"/>
          <w:sz w:val="44"/>
          <w:szCs w:val="44"/>
          <w:highlight w:val="none"/>
          <w:lang w:val="en-US" w:eastAsia="zh-CN" w:bidi="ar-SA"/>
        </w:rPr>
      </w:pPr>
    </w:p>
    <w:p w14:paraId="569C4F0A">
      <w:pPr>
        <w:rPr>
          <w:rFonts w:hint="eastAsia" w:ascii="Calibri" w:hAnsi="Calibri" w:eastAsia="方正小标宋简体" w:cs="Times New Roman"/>
          <w:bCs/>
          <w:kern w:val="44"/>
          <w:sz w:val="44"/>
          <w:szCs w:val="44"/>
          <w:highlight w:val="none"/>
          <w:lang w:val="en-US" w:eastAsia="zh-CN" w:bidi="ar-SA"/>
        </w:rPr>
      </w:pPr>
    </w:p>
    <w:p w14:paraId="4DAB1CF7">
      <w:pPr>
        <w:pStyle w:val="16"/>
        <w:rPr>
          <w:rFonts w:hint="eastAsia" w:ascii="Calibri" w:hAnsi="Calibri" w:eastAsia="方正小标宋简体" w:cs="Times New Roman"/>
          <w:bCs/>
          <w:kern w:val="44"/>
          <w:sz w:val="44"/>
          <w:szCs w:val="44"/>
          <w:highlight w:val="none"/>
          <w:lang w:val="en-US" w:eastAsia="zh-CN" w:bidi="ar-SA"/>
        </w:rPr>
      </w:pPr>
    </w:p>
    <w:p w14:paraId="327138AE">
      <w:pPr>
        <w:rPr>
          <w:rFonts w:hint="eastAsia" w:ascii="Calibri" w:hAnsi="Calibri" w:eastAsia="方正小标宋简体" w:cs="Times New Roman"/>
          <w:bCs/>
          <w:kern w:val="44"/>
          <w:sz w:val="44"/>
          <w:szCs w:val="44"/>
          <w:highlight w:val="none"/>
          <w:lang w:val="en-US" w:eastAsia="zh-CN" w:bidi="ar-SA"/>
        </w:rPr>
      </w:pPr>
    </w:p>
    <w:p w14:paraId="6E125FFE">
      <w:pPr>
        <w:pStyle w:val="16"/>
        <w:rPr>
          <w:rFonts w:hint="eastAsia"/>
          <w:highlight w:val="none"/>
          <w:lang w:val="en-US" w:eastAsia="zh-CN"/>
        </w:rPr>
      </w:pPr>
    </w:p>
    <w:p w14:paraId="339C4F06">
      <w:pPr>
        <w:rPr>
          <w:rFonts w:hint="eastAsia" w:ascii="Calibri" w:hAnsi="Calibri" w:eastAsia="方正小标宋简体" w:cs="Times New Roman"/>
          <w:bCs/>
          <w:kern w:val="44"/>
          <w:sz w:val="44"/>
          <w:szCs w:val="44"/>
          <w:highlight w:val="none"/>
          <w:lang w:val="en-US" w:eastAsia="zh-CN" w:bidi="ar-SA"/>
        </w:rPr>
      </w:pPr>
    </w:p>
    <w:p w14:paraId="328846E3">
      <w:pPr>
        <w:pStyle w:val="16"/>
        <w:rPr>
          <w:rFonts w:hint="eastAsia"/>
          <w:highlight w:val="none"/>
          <w:lang w:val="en-US" w:eastAsia="zh-CN"/>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highlight w:val="none"/>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739" w:type="dxa"/>
        <w:tblInd w:w="0" w:type="dxa"/>
        <w:tblLayout w:type="fixed"/>
        <w:tblCellMar>
          <w:top w:w="0" w:type="dxa"/>
          <w:left w:w="108" w:type="dxa"/>
          <w:bottom w:w="0" w:type="dxa"/>
          <w:right w:w="108" w:type="dxa"/>
        </w:tblCellMar>
      </w:tblPr>
      <w:tblGrid>
        <w:gridCol w:w="1155"/>
        <w:gridCol w:w="1934"/>
        <w:gridCol w:w="6650"/>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934"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650"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934"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650" w:type="dxa"/>
            <w:tcBorders>
              <w:top w:val="single" w:color="000000" w:sz="4" w:space="0"/>
              <w:left w:val="nil"/>
              <w:bottom w:val="single" w:color="000000" w:sz="4" w:space="0"/>
              <w:right w:val="single" w:color="000000" w:sz="4" w:space="0"/>
            </w:tcBorders>
            <w:vAlign w:val="center"/>
          </w:tcPr>
          <w:p w14:paraId="70CEB8C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衡阳弘尊建筑工程有限公司</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衡阳市蒸湘区解放路1号财富大厦19楼</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肖棋</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13617335853</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934"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650"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pacing w:val="15"/>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建湘工业文化街区计量产业“两会一展”厂房提质改造9#、10#、15#楼栋扩大劳务（专业工程）项目</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934"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650"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建湘工业文化街区计量产业“两会一展”，所需使用的厂房9#、10#、15#楼栋扩大劳务（专业工程）招标。</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934"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650"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业主自筹</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934"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650"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扩大劳务比选</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934"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p>
        </w:tc>
        <w:tc>
          <w:tcPr>
            <w:tcW w:w="6650"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30天</w:t>
            </w:r>
          </w:p>
        </w:tc>
      </w:tr>
      <w:tr w14:paraId="30B2FA41">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934"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650" w:type="dxa"/>
            <w:tcBorders>
              <w:top w:val="single" w:color="000000" w:sz="4" w:space="0"/>
              <w:left w:val="nil"/>
              <w:bottom w:val="single" w:color="000000" w:sz="4" w:space="0"/>
              <w:right w:val="single" w:color="000000" w:sz="4" w:space="0"/>
            </w:tcBorders>
            <w:vAlign w:val="center"/>
          </w:tcPr>
          <w:p w14:paraId="4269A2A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1.投标人具有独立法人资格并依法取得营业执照、相应资质证书、安全生产许可证，并在有效期限内；</w:t>
            </w:r>
          </w:p>
          <w:p w14:paraId="1BC4798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2.投标人具备相应的资质：本次招标工作相对应建筑或市政工程劳务分包、专业分包、施工总承包资质；</w:t>
            </w:r>
          </w:p>
          <w:p w14:paraId="4684A7F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3.投标人注册资金不应低于人民币100万元；</w:t>
            </w:r>
          </w:p>
          <w:p w14:paraId="53D32DD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4.具有较强的技术力量、经济实力，并在人员、设备等方面具有承担本次招标工作劳务施工的能力；</w:t>
            </w:r>
          </w:p>
          <w:p w14:paraId="6EF11597">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□不提供。</w:t>
            </w:r>
          </w:p>
          <w:p w14:paraId="2E8F18F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☑提供:近3年内（ 2022 年 4 月至 2025 年 4 月）不少于 1 个（1至3个）  建筑或市政  的类似项目业绩。</w:t>
            </w:r>
          </w:p>
          <w:p w14:paraId="786C145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类似项目业绩是指:建筑或市政相关工程业绩。</w:t>
            </w:r>
          </w:p>
          <w:p w14:paraId="391CB70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业绩证明材料须提供合同、交（竣）工验收证明或结算单两种资料。</w:t>
            </w:r>
          </w:p>
          <w:p w14:paraId="77755AF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5.项目负责人要求：</w:t>
            </w:r>
          </w:p>
          <w:p w14:paraId="6585DCD3">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☑不提供。</w:t>
            </w:r>
          </w:p>
          <w:p w14:paraId="7221CC1D">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□提供:拟任项目负责人须具有      （证书或职称或执业资格等），且为本单位在职员工，并提供劳动和社会保障部门出具的投标截止时间前近半年连续6个月（  年  月至  年  月）的社保证明。</w:t>
            </w:r>
          </w:p>
          <w:p w14:paraId="32670544">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6.信誉要求：近三年内，在经营活动中无不良记录。投标人必须提供“信用中国”（</w:t>
            </w:r>
            <w:r>
              <w:rPr>
                <w:rFonts w:hint="default" w:ascii="仿宋" w:hAnsi="仿宋" w:eastAsia="仿宋" w:cs="仿宋"/>
                <w:b w:val="0"/>
                <w:bCs w:val="0"/>
                <w:spacing w:val="0"/>
                <w:kern w:val="2"/>
                <w:position w:val="0"/>
                <w:sz w:val="24"/>
                <w:szCs w:val="24"/>
                <w:highlight w:val="none"/>
                <w:lang w:val="en-US" w:eastAsia="zh-CN" w:bidi="ar-SA"/>
              </w:rPr>
              <w:fldChar w:fldCharType="begin"/>
            </w:r>
            <w:r>
              <w:rPr>
                <w:rFonts w:hint="default" w:ascii="仿宋" w:hAnsi="仿宋" w:eastAsia="仿宋" w:cs="仿宋"/>
                <w:b w:val="0"/>
                <w:bCs w:val="0"/>
                <w:spacing w:val="0"/>
                <w:kern w:val="2"/>
                <w:position w:val="0"/>
                <w:sz w:val="24"/>
                <w:szCs w:val="24"/>
                <w:highlight w:val="none"/>
                <w:lang w:val="en-US" w:eastAsia="zh-CN" w:bidi="ar-SA"/>
              </w:rPr>
              <w:instrText xml:space="preserve"> HYPERLINK "http://www.creditchina.gov.xn--cn)-cm9dj9ca41zd6gd7hnzuu9e90f4qw2y7blje63wds0e./" </w:instrText>
            </w:r>
            <w:r>
              <w:rPr>
                <w:rFonts w:hint="default" w:ascii="仿宋" w:hAnsi="仿宋" w:eastAsia="仿宋" w:cs="仿宋"/>
                <w:b w:val="0"/>
                <w:bCs w:val="0"/>
                <w:spacing w:val="0"/>
                <w:kern w:val="2"/>
                <w:position w:val="0"/>
                <w:sz w:val="24"/>
                <w:szCs w:val="24"/>
                <w:highlight w:val="none"/>
                <w:lang w:val="en-US" w:eastAsia="zh-CN" w:bidi="ar-SA"/>
              </w:rPr>
              <w:fldChar w:fldCharType="separate"/>
            </w:r>
            <w:r>
              <w:rPr>
                <w:rFonts w:hint="default" w:ascii="仿宋" w:hAnsi="仿宋" w:eastAsia="仿宋" w:cs="仿宋"/>
                <w:b w:val="0"/>
                <w:bCs w:val="0"/>
                <w:spacing w:val="0"/>
                <w:kern w:val="2"/>
                <w:position w:val="0"/>
                <w:sz w:val="24"/>
                <w:szCs w:val="24"/>
                <w:highlight w:val="none"/>
                <w:lang w:val="en-US" w:eastAsia="zh-CN" w:bidi="ar-SA"/>
              </w:rPr>
              <w:t>www.creditchina.gov.cn）信用信息共享平台的信用查询截图。</w:t>
            </w:r>
            <w:r>
              <w:rPr>
                <w:rFonts w:hint="default" w:ascii="仿宋" w:hAnsi="仿宋" w:eastAsia="仿宋" w:cs="仿宋"/>
                <w:b w:val="0"/>
                <w:bCs w:val="0"/>
                <w:spacing w:val="0"/>
                <w:kern w:val="2"/>
                <w:position w:val="0"/>
                <w:sz w:val="24"/>
                <w:szCs w:val="24"/>
                <w:highlight w:val="none"/>
                <w:lang w:val="en-US" w:eastAsia="zh-CN" w:bidi="ar-SA"/>
              </w:rPr>
              <w:fldChar w:fldCharType="end"/>
            </w:r>
            <w:r>
              <w:rPr>
                <w:rFonts w:hint="default" w:ascii="仿宋" w:hAnsi="仿宋" w:eastAsia="仿宋" w:cs="仿宋"/>
                <w:b w:val="0"/>
                <w:bCs w:val="0"/>
                <w:spacing w:val="0"/>
                <w:kern w:val="2"/>
                <w:position w:val="0"/>
                <w:sz w:val="24"/>
                <w:szCs w:val="24"/>
                <w:highlight w:val="none"/>
                <w:lang w:val="en-US" w:eastAsia="zh-CN" w:bidi="ar-SA"/>
              </w:rPr>
              <w:t>参选单位在近三年内与衡阳路桥无诉讼、仲裁、结算纠纷；</w:t>
            </w:r>
          </w:p>
          <w:p w14:paraId="09DD7C34">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7.关联要求：参选单位法定代表人为同一人或者存在直接控股、管理关系的不同参选人，不得同时参加本次比选。</w:t>
            </w:r>
          </w:p>
          <w:p w14:paraId="0FEE7D0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8.联合体要求：本次比选不接受联合体参加。</w:t>
            </w:r>
          </w:p>
          <w:p w14:paraId="31EA6B2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9.增值税要求：</w:t>
            </w:r>
          </w:p>
          <w:p w14:paraId="72FC632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投标人为☑一般纳税人，□小规模纳税人</w:t>
            </w:r>
          </w:p>
          <w:p w14:paraId="13A6EE93">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本次招标的工程增值税税率按合同执行。</w:t>
            </w:r>
          </w:p>
          <w:p w14:paraId="402EC215">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 xml:space="preserve">10.其他要求：   </w:t>
            </w:r>
            <w:r>
              <w:rPr>
                <w:rFonts w:hint="eastAsia" w:ascii="仿宋" w:hAnsi="仿宋" w:eastAsia="仿宋" w:cs="仿宋"/>
                <w:b w:val="0"/>
                <w:bCs w:val="0"/>
                <w:spacing w:val="0"/>
                <w:kern w:val="2"/>
                <w:position w:val="0"/>
                <w:sz w:val="24"/>
                <w:szCs w:val="24"/>
                <w:highlight w:val="none"/>
                <w:lang w:val="en-US" w:eastAsia="zh-CN" w:bidi="ar-SA"/>
              </w:rPr>
              <w:t>/</w:t>
            </w:r>
            <w:r>
              <w:rPr>
                <w:rFonts w:hint="default" w:ascii="仿宋" w:hAnsi="仿宋" w:eastAsia="仿宋" w:cs="仿宋"/>
                <w:b w:val="0"/>
                <w:bCs w:val="0"/>
                <w:spacing w:val="0"/>
                <w:kern w:val="2"/>
                <w:position w:val="0"/>
                <w:sz w:val="24"/>
                <w:szCs w:val="24"/>
                <w:highlight w:val="none"/>
                <w:lang w:val="en-US" w:eastAsia="zh-CN" w:bidi="ar-SA"/>
              </w:rPr>
              <w:t xml:space="preserve">    。</w:t>
            </w:r>
          </w:p>
        </w:tc>
      </w:tr>
      <w:tr w14:paraId="1E87CDBF">
        <w:tblPrEx>
          <w:tblCellMar>
            <w:top w:w="0" w:type="dxa"/>
            <w:left w:w="108" w:type="dxa"/>
            <w:bottom w:w="0" w:type="dxa"/>
            <w:right w:w="108" w:type="dxa"/>
          </w:tblCellMar>
        </w:tblPrEx>
        <w:trPr>
          <w:trHeight w:val="1025"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934"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650"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1839"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934"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650"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02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934"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650"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934"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650"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80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934" w:type="dxa"/>
            <w:tcBorders>
              <w:top w:val="single" w:color="000000" w:sz="4" w:space="0"/>
              <w:left w:val="nil"/>
              <w:bottom w:val="single" w:color="000000" w:sz="4" w:space="0"/>
              <w:right w:val="single" w:color="000000" w:sz="4" w:space="0"/>
            </w:tcBorders>
            <w:vAlign w:val="center"/>
          </w:tcPr>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份数</w:t>
            </w:r>
          </w:p>
        </w:tc>
        <w:tc>
          <w:tcPr>
            <w:tcW w:w="6650"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正本1份，副本4份。电子文档1份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934"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650"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125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934" w:type="dxa"/>
            <w:tcBorders>
              <w:top w:val="single" w:color="000000" w:sz="4" w:space="0"/>
              <w:left w:val="nil"/>
              <w:bottom w:val="single" w:color="000000" w:sz="4" w:space="0"/>
              <w:right w:val="single" w:color="000000" w:sz="4" w:space="0"/>
            </w:tcBorders>
            <w:vAlign w:val="center"/>
          </w:tcPr>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投标保证金</w:t>
            </w:r>
          </w:p>
        </w:tc>
        <w:tc>
          <w:tcPr>
            <w:tcW w:w="6650"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1.用保函形式（银行保函或担保公司保函）。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叁万  </w:t>
            </w:r>
            <w:r>
              <w:rPr>
                <w:rFonts w:hint="eastAsia" w:ascii="仿宋" w:hAnsi="仿宋" w:eastAsia="仿宋" w:cs="仿宋"/>
                <w:color w:val="auto"/>
                <w:kern w:val="0"/>
                <w:sz w:val="24"/>
                <w:szCs w:val="24"/>
                <w:highlight w:val="none"/>
                <w:lang w:val="en-US" w:eastAsia="zh-CN"/>
              </w:rPr>
              <w:t>元。</w:t>
            </w:r>
          </w:p>
        </w:tc>
      </w:tr>
      <w:tr w14:paraId="5D7A7ACA">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B1013E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934" w:type="dxa"/>
            <w:tcBorders>
              <w:top w:val="single" w:color="000000" w:sz="4" w:space="0"/>
              <w:left w:val="nil"/>
              <w:bottom w:val="single" w:color="000000" w:sz="4" w:space="0"/>
              <w:right w:val="single" w:color="000000" w:sz="4" w:space="0"/>
            </w:tcBorders>
            <w:vAlign w:val="center"/>
          </w:tcPr>
          <w:p w14:paraId="29107C4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650" w:type="dxa"/>
            <w:tcBorders>
              <w:top w:val="single" w:color="000000" w:sz="4" w:space="0"/>
              <w:left w:val="nil"/>
              <w:bottom w:val="single" w:color="000000" w:sz="4" w:space="0"/>
              <w:right w:val="single" w:color="000000" w:sz="4" w:space="0"/>
            </w:tcBorders>
            <w:vAlign w:val="center"/>
          </w:tcPr>
          <w:p w14:paraId="42A7B33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按合同总价缴纳10%履约保证金，采用银行专账或保函。</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934"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650"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经评审的最低投标价法</w:t>
            </w:r>
          </w:p>
        </w:tc>
      </w:tr>
      <w:tr w14:paraId="746A1654">
        <w:tblPrEx>
          <w:tblCellMar>
            <w:top w:w="0" w:type="dxa"/>
            <w:left w:w="108" w:type="dxa"/>
            <w:bottom w:w="0" w:type="dxa"/>
            <w:right w:w="108" w:type="dxa"/>
          </w:tblCellMar>
        </w:tblPrEx>
        <w:trPr>
          <w:trHeight w:val="81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934" w:type="dxa"/>
            <w:tcBorders>
              <w:top w:val="single" w:color="000000" w:sz="4" w:space="0"/>
              <w:left w:val="nil"/>
              <w:bottom w:val="single" w:color="000000" w:sz="4" w:space="0"/>
              <w:right w:val="single" w:color="000000" w:sz="4" w:space="0"/>
            </w:tcBorders>
            <w:vAlign w:val="center"/>
          </w:tcPr>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w:t>
            </w:r>
          </w:p>
        </w:tc>
        <w:tc>
          <w:tcPr>
            <w:tcW w:w="6650"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1700884.96元</w:t>
            </w:r>
            <w:r>
              <w:rPr>
                <w:rFonts w:hint="eastAsia" w:ascii="仿宋" w:hAnsi="仿宋" w:eastAsia="仿宋" w:cs="仿宋"/>
                <w:color w:val="auto"/>
                <w:kern w:val="0"/>
                <w:sz w:val="24"/>
                <w:szCs w:val="24"/>
                <w:highlight w:val="none"/>
                <w:lang w:val="en-US" w:eastAsia="zh-CN"/>
              </w:rPr>
              <w:t xml:space="preserve">。       </w:t>
            </w:r>
          </w:p>
        </w:tc>
      </w:tr>
      <w:tr w14:paraId="7FE0D6A2">
        <w:tblPrEx>
          <w:tblCellMar>
            <w:top w:w="0" w:type="dxa"/>
            <w:left w:w="108" w:type="dxa"/>
            <w:bottom w:w="0" w:type="dxa"/>
            <w:right w:w="108" w:type="dxa"/>
          </w:tblCellMar>
        </w:tblPrEx>
        <w:trPr>
          <w:trHeight w:val="81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934"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650"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07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650"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候选人情况在</w:t>
            </w:r>
            <w:r>
              <w:rPr>
                <w:rFonts w:hint="eastAsia" w:ascii="仿宋" w:hAnsi="仿宋" w:eastAsia="仿宋" w:cs="仿宋"/>
                <w:color w:val="auto"/>
                <w:kern w:val="0"/>
                <w:sz w:val="24"/>
                <w:szCs w:val="24"/>
                <w:highlight w:val="none"/>
                <w:lang w:val="en-US" w:eastAsia="zh-CN"/>
              </w:rPr>
              <w:t>衡阳市国有资产投资控股集团有限公司官方网站（www.hxamc.com）和衡阳公路桥梁建设有限公司官方网站（www.hylqgs.com）</w:t>
            </w:r>
            <w:r>
              <w:rPr>
                <w:rFonts w:hint="eastAsia" w:ascii="仿宋" w:hAnsi="仿宋" w:eastAsia="仿宋" w:cs="仿宋"/>
                <w:color w:val="auto"/>
                <w:kern w:val="0"/>
                <w:sz w:val="24"/>
                <w:szCs w:val="24"/>
                <w:highlight w:val="none"/>
              </w:rPr>
              <w:t>公示。</w:t>
            </w:r>
          </w:p>
        </w:tc>
      </w:tr>
      <w:tr w14:paraId="3FEA4891">
        <w:tblPrEx>
          <w:tblCellMar>
            <w:top w:w="0" w:type="dxa"/>
            <w:left w:w="108" w:type="dxa"/>
            <w:bottom w:w="0" w:type="dxa"/>
            <w:right w:w="108" w:type="dxa"/>
          </w:tblCellMar>
        </w:tblPrEx>
        <w:trPr>
          <w:trHeight w:val="107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86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4D043EE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w:t>
            </w:r>
          </w:p>
        </w:tc>
        <w:tc>
          <w:tcPr>
            <w:tcW w:w="6650" w:type="dxa"/>
            <w:tcBorders>
              <w:top w:val="single" w:color="000000" w:sz="4" w:space="0"/>
              <w:left w:val="nil"/>
              <w:bottom w:val="single" w:color="000000" w:sz="4" w:space="0"/>
              <w:right w:val="single" w:color="000000" w:sz="4" w:space="0"/>
            </w:tcBorders>
            <w:shd w:val="clear" w:color="auto" w:fill="auto"/>
            <w:vAlign w:val="center"/>
          </w:tcPr>
          <w:p w14:paraId="138F4C7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其他未尽事宜，按照相关法律法规及政策文件规定执行。</w:t>
            </w:r>
          </w:p>
        </w:tc>
      </w:tr>
    </w:tbl>
    <w:p w14:paraId="338F1691">
      <w:pPr>
        <w:widowControl/>
        <w:numPr>
          <w:ilvl w:val="0"/>
          <w:numId w:val="0"/>
        </w:numPr>
        <w:spacing w:line="480" w:lineRule="exact"/>
        <w:jc w:val="left"/>
        <w:rPr>
          <w:rFonts w:hint="eastAsia" w:ascii="黑体" w:hAnsi="黑体" w:eastAsia="黑体" w:cs="黑体"/>
          <w:b/>
          <w:spacing w:val="15"/>
          <w:kern w:val="0"/>
          <w:sz w:val="32"/>
          <w:szCs w:val="32"/>
          <w:highlight w:val="none"/>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highlight w:val="none"/>
        </w:rPr>
      </w:pPr>
      <w:r>
        <w:rPr>
          <w:rFonts w:hint="eastAsia" w:ascii="黑体" w:hAnsi="黑体" w:eastAsia="黑体" w:cs="黑体"/>
          <w:b/>
          <w:spacing w:val="15"/>
          <w:kern w:val="0"/>
          <w:sz w:val="32"/>
          <w:szCs w:val="32"/>
          <w:highlight w:val="none"/>
          <w:lang w:val="en-US" w:eastAsia="zh-CN"/>
        </w:rPr>
        <w:t>一、</w:t>
      </w:r>
      <w:r>
        <w:rPr>
          <w:rFonts w:hint="eastAsia" w:ascii="黑体" w:hAnsi="黑体" w:eastAsia="黑体" w:cs="黑体"/>
          <w:b/>
          <w:spacing w:val="15"/>
          <w:kern w:val="0"/>
          <w:sz w:val="32"/>
          <w:szCs w:val="32"/>
          <w:highlight w:val="none"/>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highlight w:val="none"/>
        </w:rPr>
      </w:pPr>
      <w:r>
        <w:rPr>
          <w:rFonts w:hint="eastAsia" w:ascii="仿宋" w:hAnsi="仿宋" w:eastAsia="仿宋" w:cs="仿宋"/>
          <w:sz w:val="28"/>
          <w:szCs w:val="28"/>
          <w:highlight w:val="none"/>
        </w:rPr>
        <w:t>当事人一方对在订立和履行合同过程中知悉的另一方的商业秘密、技术秘密负有保密责</w:t>
      </w:r>
      <w:r>
        <w:rPr>
          <w:rFonts w:hint="eastAsia" w:ascii="仿宋" w:hAnsi="仿宋" w:eastAsia="仿宋" w:cs="仿宋"/>
          <w:kern w:val="0"/>
          <w:sz w:val="28"/>
          <w:szCs w:val="28"/>
          <w:highlight w:val="none"/>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highlight w:val="none"/>
        </w:rPr>
        <w:t>偿责任。当事人为履行合同所需要的信息，另一方须予以提供。当事人认为必要时，可签订保密协议</w:t>
      </w:r>
      <w:r>
        <w:rPr>
          <w:rFonts w:hint="eastAsia" w:ascii="仿宋" w:hAnsi="仿宋" w:eastAsia="仿宋"/>
          <w:spacing w:val="15"/>
          <w:kern w:val="0"/>
          <w:sz w:val="28"/>
          <w:szCs w:val="28"/>
          <w:highlight w:val="none"/>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highlight w:val="none"/>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highlight w:val="none"/>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2DE692D2">
      <w:pPr>
        <w:widowControl/>
        <w:numPr>
          <w:ilvl w:val="0"/>
          <w:numId w:val="0"/>
        </w:numPr>
        <w:spacing w:line="480" w:lineRule="exact"/>
        <w:ind w:firstLine="643" w:firstLineChars="200"/>
        <w:jc w:val="left"/>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三、</w:t>
      </w:r>
      <w:r>
        <w:rPr>
          <w:rFonts w:hint="eastAsia" w:ascii="黑体" w:hAnsi="黑体" w:eastAsia="黑体" w:cs="黑体"/>
          <w:b/>
          <w:bCs/>
          <w:sz w:val="32"/>
          <w:szCs w:val="32"/>
          <w:highlight w:val="none"/>
        </w:rPr>
        <w:t>投标保证金</w:t>
      </w:r>
    </w:p>
    <w:p w14:paraId="022E04A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须知前附表规定交纳投标保证金的，应按参选人须知前附表规定的投标保证金形式交纳。投标保证金有效期应当与参选人须知前附表第13款规定的比选有效期一致。投标保函担保的项目名称应与比选的项目名称保持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highlight w:val="none"/>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bookmarkStart w:id="1" w:name="_GoBack"/>
      <w:bookmarkEnd w:id="1"/>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B4C55D1">
      <w:pPr>
        <w:rPr>
          <w:rFonts w:hint="eastAsia"/>
          <w:highlight w:val="none"/>
          <w:lang w:val="en-US" w:eastAsia="zh-CN"/>
        </w:rPr>
      </w:pPr>
    </w:p>
    <w:p w14:paraId="22EF7695">
      <w:pPr>
        <w:pStyle w:val="2"/>
        <w:rPr>
          <w:rFonts w:hint="eastAsia"/>
          <w:highlight w:val="none"/>
          <w:lang w:val="en-US" w:eastAsia="zh-CN"/>
        </w:rPr>
      </w:pPr>
    </w:p>
    <w:p w14:paraId="34C5A485">
      <w:pPr>
        <w:rPr>
          <w:rFonts w:hint="eastAsia"/>
          <w:highlight w:val="none"/>
          <w:lang w:val="en-US" w:eastAsia="zh-CN"/>
        </w:rPr>
      </w:pPr>
    </w:p>
    <w:p w14:paraId="2A68DA94">
      <w:pPr>
        <w:pStyle w:val="2"/>
        <w:rPr>
          <w:rFonts w:hint="eastAsia"/>
          <w:highlight w:val="none"/>
          <w:lang w:val="en-US" w:eastAsia="zh-CN"/>
        </w:rPr>
      </w:pPr>
    </w:p>
    <w:p w14:paraId="0F1BB53E">
      <w:pPr>
        <w:rPr>
          <w:rFonts w:hint="eastAsia"/>
          <w:highlight w:val="none"/>
          <w:lang w:val="en-US" w:eastAsia="zh-CN"/>
        </w:rPr>
      </w:pPr>
    </w:p>
    <w:p w14:paraId="76E9EC29">
      <w:pPr>
        <w:pStyle w:val="2"/>
        <w:rPr>
          <w:rFonts w:hint="eastAsia"/>
          <w:highlight w:val="none"/>
          <w:lang w:val="en-US" w:eastAsia="zh-CN"/>
        </w:rPr>
      </w:pPr>
    </w:p>
    <w:p w14:paraId="4B7D2FA1">
      <w:pPr>
        <w:rPr>
          <w:rFonts w:hint="eastAsia"/>
          <w:highlight w:val="none"/>
          <w:lang w:val="en-US" w:eastAsia="zh-CN"/>
        </w:rPr>
      </w:pPr>
    </w:p>
    <w:p w14:paraId="5C3BC5B4">
      <w:pPr>
        <w:pStyle w:val="2"/>
        <w:rPr>
          <w:rFonts w:hint="eastAsia"/>
          <w:highlight w:val="none"/>
          <w:lang w:val="en-US" w:eastAsia="zh-CN"/>
        </w:rPr>
      </w:pPr>
    </w:p>
    <w:p w14:paraId="78498866">
      <w:pPr>
        <w:rPr>
          <w:rFonts w:hint="eastAsia"/>
          <w:highlight w:val="none"/>
          <w:lang w:val="en-US" w:eastAsia="zh-CN"/>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r>
        <w:rPr>
          <w:rFonts w:hint="eastAsia" w:ascii="Calibri" w:hAnsi="Calibri" w:eastAsia="方正小标宋简体" w:cs="Times New Roman"/>
          <w:bCs/>
          <w:kern w:val="44"/>
          <w:sz w:val="44"/>
          <w:szCs w:val="44"/>
          <w:highlight w:val="none"/>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一、参选文件</w:t>
      </w:r>
      <w:r>
        <w:rPr>
          <w:rFonts w:hint="eastAsia" w:ascii="黑体" w:hAnsi="黑体" w:eastAsia="黑体" w:cs="黑体"/>
          <w:b/>
          <w:bCs/>
          <w:sz w:val="32"/>
          <w:szCs w:val="32"/>
          <w:highlight w:val="none"/>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685EBD7">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46410E37">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（5）拟任本项目负责人</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w:t>
      </w:r>
      <w:r>
        <w:rPr>
          <w:rFonts w:hint="eastAsia" w:ascii="仿宋" w:hAnsi="仿宋" w:eastAsia="仿宋" w:cs="仿宋"/>
          <w:spacing w:val="0"/>
          <w:position w:val="0"/>
          <w:sz w:val="28"/>
          <w:szCs w:val="28"/>
          <w:highlight w:val="none"/>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或职称或执业资格等）复印件及社保证明，并加盖参选单位公章（是否需提供详见参选人须知）。</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（6）其他人员</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 xml:space="preserve"> </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（7）“信用中国”网站查询后下载信用信息报告自动生成的PDF文件，并加盖参选单位公章。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（9）</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一览表及工程量清单、甲供材汇总表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（电子文件内容为参选文件的扫描件，载体为U盘；副本为正本的复印件，并在封面加盖参选单位公章）。纸质版参选文件须清楚地注明“正本”或“副本”的字样。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7"/>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37426FEC">
      <w:pPr>
        <w:wordWrap w:val="0"/>
        <w:adjustRightInd w:val="0"/>
        <w:snapToGrid w:val="0"/>
        <w:spacing w:line="360" w:lineRule="auto"/>
        <w:ind w:firstLine="2511" w:firstLineChars="897"/>
        <w:jc w:val="righ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4BC7B4B6">
      <w:pPr>
        <w:keepNext w:val="0"/>
        <w:keepLines w:val="0"/>
        <w:pageBreakBefore w:val="0"/>
        <w:widowControl/>
        <w:kinsoku/>
        <w:wordWrap/>
        <w:overflowPunct/>
        <w:topLinePunct w:val="0"/>
        <w:autoSpaceDE/>
        <w:autoSpaceDN/>
        <w:bidi w:val="0"/>
        <w:spacing w:line="480" w:lineRule="exact"/>
        <w:ind w:firstLine="560"/>
        <w:jc w:val="center"/>
        <w:rPr>
          <w:rFonts w:hint="eastAsia"/>
          <w:color w:val="auto"/>
          <w:highlight w:val="none"/>
        </w:rPr>
      </w:pPr>
      <w:r>
        <w:rPr>
          <w:rFonts w:hint="eastAsia" w:ascii="黑体" w:hAnsi="黑体" w:eastAsia="黑体" w:cs="黑体"/>
          <w:b/>
          <w:bCs/>
          <w:color w:val="auto"/>
          <w:spacing w:val="15"/>
          <w:kern w:val="0"/>
          <w:sz w:val="40"/>
          <w:szCs w:val="40"/>
          <w:highlight w:val="none"/>
          <w:lang w:val="en-US" w:eastAsia="zh-CN"/>
        </w:rPr>
        <w:t>法定代表人授权委托书</w:t>
      </w: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p>
    <w:p w14:paraId="4D5D52FC">
      <w:pPr>
        <w:widowControl/>
        <w:topLinePunct/>
        <w:spacing w:line="620" w:lineRule="exact"/>
        <w:ind w:firstLine="19" w:firstLineChars="7"/>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2A71F5D6">
      <w:pPr>
        <w:widowControl/>
        <w:topLinePunct/>
        <w:spacing w:line="620" w:lineRule="exact"/>
        <w:ind w:firstLine="20" w:firstLineChars="7"/>
        <w:jc w:val="right"/>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701EA912">
      <w:pPr>
        <w:pStyle w:val="16"/>
        <w:ind w:left="0" w:leftChars="0" w:firstLine="0" w:firstLineChars="0"/>
        <w:rPr>
          <w:rFonts w:hint="default" w:eastAsia="宋体"/>
          <w:b/>
          <w:bCs/>
          <w:highlight w:val="none"/>
          <w:lang w:val="en-US" w:eastAsia="zh-CN"/>
        </w:rPr>
      </w:pPr>
    </w:p>
    <w:p w14:paraId="269A688B">
      <w:pPr>
        <w:pStyle w:val="16"/>
        <w:ind w:left="0" w:leftChars="0" w:firstLine="0" w:firstLineChars="0"/>
        <w:rPr>
          <w:rFonts w:hint="default" w:ascii="仿宋" w:hAnsi="仿宋" w:eastAsia="仿宋" w:cs="仿宋"/>
          <w:b/>
          <w:bCs/>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注：参选人代表不是参选人法定代表人的，请另单独准备本授权委托书原件一份，身份验证时单独提交（同时需验被授权人身份证原件）。未递交的视同身份验证不通过，自动放弃比选资格。</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533"/>
        <w:gridCol w:w="967"/>
        <w:gridCol w:w="847"/>
        <w:gridCol w:w="588"/>
        <w:gridCol w:w="293"/>
        <w:gridCol w:w="1079"/>
        <w:gridCol w:w="1556"/>
        <w:gridCol w:w="1673"/>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787"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774"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556" w:type="dxa"/>
            <w:tcBorders>
              <w:top w:val="double" w:color="auto" w:sz="4" w:space="0"/>
              <w:left w:val="single" w:color="auto" w:sz="6" w:space="0"/>
              <w:bottom w:val="single" w:color="auto" w:sz="6" w:space="0"/>
              <w:right w:val="single" w:color="auto" w:sz="6" w:space="0"/>
            </w:tcBorders>
            <w:vAlign w:val="center"/>
          </w:tcPr>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673"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673"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673"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上年营业收入</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c>
          <w:tcPr>
            <w:tcW w:w="1673"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jc w:val="both"/>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元，投标报价不得高于最高投标限价。须附报价清单。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EC78E92">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sectPr>
          <w:pgSz w:w="11907" w:h="16840"/>
          <w:pgMar w:top="1701" w:right="1418" w:bottom="2041" w:left="1418"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tbl>
      <w:tblPr>
        <w:tblStyle w:val="1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6"/>
        <w:gridCol w:w="2124"/>
        <w:gridCol w:w="4737"/>
        <w:gridCol w:w="558"/>
        <w:gridCol w:w="936"/>
        <w:gridCol w:w="829"/>
        <w:gridCol w:w="504"/>
        <w:gridCol w:w="720"/>
        <w:gridCol w:w="936"/>
      </w:tblGrid>
      <w:tr w14:paraId="3084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gridSpan w:val="10"/>
            <w:tcBorders>
              <w:top w:val="nil"/>
              <w:left w:val="nil"/>
              <w:bottom w:val="nil"/>
              <w:right w:val="nil"/>
            </w:tcBorders>
            <w:shd w:val="clear" w:color="auto" w:fill="auto"/>
            <w:noWrap/>
            <w:vAlign w:val="center"/>
          </w:tcPr>
          <w:p w14:paraId="20862B48">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工程量清单</w:t>
            </w:r>
          </w:p>
        </w:tc>
      </w:tr>
      <w:tr w14:paraId="47F3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7"/>
            <w:tcBorders>
              <w:top w:val="nil"/>
              <w:left w:val="nil"/>
              <w:bottom w:val="single" w:color="000000" w:sz="4" w:space="0"/>
              <w:right w:val="nil"/>
            </w:tcBorders>
            <w:shd w:val="clear" w:color="auto" w:fill="auto"/>
            <w:noWrap/>
            <w:vAlign w:val="center"/>
          </w:tcPr>
          <w:p w14:paraId="6E75C8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工程名称：衡阳建湘文化街区“两会一展”项目（9#、10#、15#）  标段：二标</w:t>
            </w:r>
          </w:p>
        </w:tc>
        <w:tc>
          <w:tcPr>
            <w:tcW w:w="0" w:type="auto"/>
            <w:tcBorders>
              <w:top w:val="nil"/>
              <w:left w:val="nil"/>
              <w:bottom w:val="single" w:color="000000" w:sz="4" w:space="0"/>
              <w:right w:val="nil"/>
            </w:tcBorders>
            <w:shd w:val="clear" w:color="auto" w:fill="auto"/>
            <w:noWrap/>
            <w:vAlign w:val="center"/>
          </w:tcPr>
          <w:p w14:paraId="2871E365">
            <w:pPr>
              <w:jc w:val="righ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14:paraId="1D6C7CC9">
            <w:pPr>
              <w:rPr>
                <w:rFonts w:hint="eastAsia"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5F665582">
            <w:pPr>
              <w:rPr>
                <w:rFonts w:hint="default" w:ascii="Arial" w:hAnsi="Arial" w:cs="Arial"/>
                <w:i w:val="0"/>
                <w:iCs w:val="0"/>
                <w:color w:val="000000"/>
                <w:sz w:val="20"/>
                <w:szCs w:val="20"/>
                <w:highlight w:val="none"/>
                <w:u w:val="none"/>
              </w:rPr>
            </w:pPr>
          </w:p>
        </w:tc>
      </w:tr>
      <w:tr w14:paraId="37E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FC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7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4C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 目 名 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CE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 目 特 征 描 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4CA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计量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36EB2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E499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不含税单价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A83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6119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含税单价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5E36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含税金额</w:t>
            </w:r>
          </w:p>
        </w:tc>
      </w:tr>
      <w:tr w14:paraId="1442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A7EC">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23F4">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958">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C37E">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6148">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77E9EF5">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ABC6B">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DCCA0">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561D9">
            <w:pPr>
              <w:jc w:val="center"/>
              <w:rPr>
                <w:rFonts w:hint="eastAsia" w:ascii="宋体" w:hAnsi="宋体" w:eastAsia="宋体" w:cs="宋体"/>
                <w:i w:val="0"/>
                <w:iCs w:val="0"/>
                <w:color w:val="000000"/>
                <w:sz w:val="18"/>
                <w:szCs w:val="18"/>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7B03F">
            <w:pPr>
              <w:jc w:val="center"/>
              <w:rPr>
                <w:rFonts w:hint="eastAsia" w:ascii="宋体" w:hAnsi="宋体" w:eastAsia="宋体" w:cs="宋体"/>
                <w:i w:val="0"/>
                <w:iCs w:val="0"/>
                <w:color w:val="000000"/>
                <w:sz w:val="18"/>
                <w:szCs w:val="18"/>
                <w:highlight w:val="none"/>
                <w:u w:val="none"/>
              </w:rPr>
            </w:pPr>
          </w:p>
        </w:tc>
      </w:tr>
      <w:tr w14:paraId="057F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0C993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土建部分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0D5FE8">
            <w:pPr>
              <w:jc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53689C">
            <w:pPr>
              <w:jc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4" w:space="0"/>
              <w:bottom w:val="single" w:color="000000" w:sz="4" w:space="0"/>
              <w:right w:val="single" w:color="auto" w:sz="4" w:space="0"/>
            </w:tcBorders>
            <w:shd w:val="clear" w:color="auto" w:fill="auto"/>
            <w:noWrap/>
            <w:vAlign w:val="center"/>
          </w:tcPr>
          <w:p w14:paraId="6EAC0C50">
            <w:pPr>
              <w:jc w:val="center"/>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70EC00">
            <w:pPr>
              <w:jc w:val="center"/>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A03FB6">
            <w:pPr>
              <w:jc w:val="center"/>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B42F59">
            <w:pPr>
              <w:jc w:val="center"/>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9A3AEB">
            <w:pPr>
              <w:jc w:val="center"/>
              <w:rPr>
                <w:rFonts w:hint="eastAsia" w:ascii="宋体" w:hAnsi="宋体" w:eastAsia="宋体" w:cs="宋体"/>
                <w:i w:val="0"/>
                <w:iCs w:val="0"/>
                <w:color w:val="000000"/>
                <w:sz w:val="18"/>
                <w:szCs w:val="18"/>
                <w:highlight w:val="none"/>
                <w:u w:val="none"/>
              </w:rPr>
            </w:pPr>
          </w:p>
        </w:tc>
      </w:tr>
      <w:tr w14:paraId="315E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DEB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CF4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03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1.1拆除及清理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6068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908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F87">
            <w:pPr>
              <w:jc w:val="center"/>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BC00811">
            <w:pPr>
              <w:jc w:val="right"/>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000000" w:sz="4" w:space="0"/>
              <w:bottom w:val="single" w:color="000000" w:sz="4" w:space="0"/>
              <w:right w:val="nil"/>
            </w:tcBorders>
            <w:shd w:val="clear" w:color="auto" w:fill="auto"/>
            <w:noWrap/>
            <w:vAlign w:val="center"/>
          </w:tcPr>
          <w:p w14:paraId="161D0799">
            <w:pPr>
              <w:jc w:val="right"/>
              <w:rPr>
                <w:rFonts w:hint="eastAsia" w:ascii="宋体" w:hAnsi="宋体" w:eastAsia="宋体" w:cs="宋体"/>
                <w:i w:val="0"/>
                <w:iCs w:val="0"/>
                <w:color w:val="000000"/>
                <w:sz w:val="18"/>
                <w:szCs w:val="18"/>
                <w:highlight w:val="none"/>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bottom"/>
          </w:tcPr>
          <w:p w14:paraId="0946BB39">
            <w:pPr>
              <w:rPr>
                <w:rFonts w:hint="default" w:ascii="Arial" w:hAnsi="Arial" w:cs="Arial"/>
                <w:i w:val="0"/>
                <w:iCs w:val="0"/>
                <w:color w:val="000000"/>
                <w:sz w:val="20"/>
                <w:szCs w:val="20"/>
                <w:highlight w:val="none"/>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bottom"/>
          </w:tcPr>
          <w:p w14:paraId="724B3D51">
            <w:pPr>
              <w:rPr>
                <w:rFonts w:hint="default" w:ascii="Arial" w:hAnsi="Arial" w:cs="Arial"/>
                <w:i w:val="0"/>
                <w:iCs w:val="0"/>
                <w:color w:val="000000"/>
                <w:sz w:val="20"/>
                <w:szCs w:val="20"/>
                <w:highlight w:val="none"/>
                <w:u w:val="none"/>
              </w:rPr>
            </w:pPr>
          </w:p>
        </w:tc>
      </w:tr>
      <w:tr w14:paraId="3AD0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B5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6DB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9AFE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737A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1.砌体名称:拆除原砖墙及原封堵门洞恢复;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2.砌体材质:红砖;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3.砌体表面的附着物种类:包含原装饰层拆除不另计;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F1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10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5C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1FB65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6B72">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F6A8F">
            <w:pPr>
              <w:rPr>
                <w:rFonts w:hint="default" w:ascii="Arial" w:hAnsi="Arial" w:cs="Arial"/>
                <w:i w:val="0"/>
                <w:iCs w:val="0"/>
                <w:color w:val="000000"/>
                <w:sz w:val="20"/>
                <w:szCs w:val="20"/>
                <w:highlight w:val="none"/>
                <w:u w:val="none"/>
              </w:rPr>
            </w:pPr>
          </w:p>
        </w:tc>
      </w:tr>
      <w:tr w14:paraId="41A0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84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B1D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588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墙柱面龙骨及饰面拆除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F4C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1.墙柱面龙骨及饰面拆除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B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81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15D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59697F">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FDC3F">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A377D">
            <w:pPr>
              <w:rPr>
                <w:rFonts w:hint="default" w:ascii="Arial" w:hAnsi="Arial" w:cs="Arial"/>
                <w:i w:val="0"/>
                <w:iCs w:val="0"/>
                <w:color w:val="000000"/>
                <w:sz w:val="20"/>
                <w:szCs w:val="20"/>
                <w:highlight w:val="none"/>
                <w:u w:val="none"/>
              </w:rPr>
            </w:pPr>
          </w:p>
        </w:tc>
      </w:tr>
      <w:tr w14:paraId="218E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1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A0D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658A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02B4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1.废弃料品种:拆除建渣装车，外运;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2.运距:3km;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05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9D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67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96EBE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18D58">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173E8">
            <w:pPr>
              <w:rPr>
                <w:rFonts w:hint="default" w:ascii="Arial" w:hAnsi="Arial" w:cs="Arial"/>
                <w:i w:val="0"/>
                <w:iCs w:val="0"/>
                <w:color w:val="000000"/>
                <w:sz w:val="20"/>
                <w:szCs w:val="20"/>
                <w:highlight w:val="none"/>
                <w:u w:val="none"/>
              </w:rPr>
            </w:pPr>
          </w:p>
        </w:tc>
      </w:tr>
      <w:tr w14:paraId="088A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58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36A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9B4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余方弃置（每增运1km）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3ECD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1.自卸汽车运石碴 每增运1km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71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6F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A15F1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4CFFF">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1105B">
            <w:pPr>
              <w:rPr>
                <w:rFonts w:hint="default" w:ascii="Arial" w:hAnsi="Arial" w:cs="Arial"/>
                <w:i w:val="0"/>
                <w:iCs w:val="0"/>
                <w:color w:val="000000"/>
                <w:sz w:val="20"/>
                <w:szCs w:val="20"/>
                <w:highlight w:val="none"/>
                <w:u w:val="none"/>
              </w:rPr>
            </w:pPr>
          </w:p>
        </w:tc>
      </w:tr>
      <w:tr w14:paraId="06D3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561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2C0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32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536F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F7B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A10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9CC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4B4B0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C93C7">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8E33">
            <w:pPr>
              <w:rPr>
                <w:rFonts w:hint="default" w:ascii="Arial" w:hAnsi="Arial" w:cs="Arial"/>
                <w:i w:val="0"/>
                <w:iCs w:val="0"/>
                <w:color w:val="000000"/>
                <w:sz w:val="20"/>
                <w:szCs w:val="20"/>
                <w:highlight w:val="none"/>
                <w:u w:val="none"/>
              </w:rPr>
            </w:pPr>
          </w:p>
        </w:tc>
      </w:tr>
      <w:tr w14:paraId="19F1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3A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F54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16F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7E3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1.油污、霉斑处理:使用铲刀或钢丝刷铲除严重污渍、霉斑,随后用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5%碱水(如氢氧化钠溶液)擦拭,再用清水冲洗干净。对霉菌污染墙面,需涂刷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7-10%磷酸三钠水溶液2-3遍杀菌,避免残留菌丝。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9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53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A65">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DE9F3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86419">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F93EA">
            <w:pPr>
              <w:rPr>
                <w:rFonts w:hint="default" w:ascii="Arial" w:hAnsi="Arial" w:cs="Arial"/>
                <w:i w:val="0"/>
                <w:iCs w:val="0"/>
                <w:color w:val="000000"/>
                <w:sz w:val="20"/>
                <w:szCs w:val="20"/>
                <w:highlight w:val="none"/>
                <w:u w:val="none"/>
              </w:rPr>
            </w:pPr>
          </w:p>
        </w:tc>
      </w:tr>
      <w:tr w14:paraId="3B68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33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35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C28B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77D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1.刷乳胶漆 抹灰面 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DE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0C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B9A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C3FC1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26C6B">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7E2B2">
            <w:pPr>
              <w:rPr>
                <w:rFonts w:hint="default" w:ascii="Arial" w:hAnsi="Arial" w:cs="Arial"/>
                <w:i w:val="0"/>
                <w:iCs w:val="0"/>
                <w:color w:val="000000"/>
                <w:sz w:val="20"/>
                <w:szCs w:val="20"/>
                <w:highlight w:val="none"/>
                <w:u w:val="none"/>
              </w:rPr>
            </w:pPr>
          </w:p>
        </w:tc>
      </w:tr>
      <w:tr w14:paraId="77EA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224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01C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D8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24E8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2AE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539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C3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7CF44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71551">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1A34C">
            <w:pPr>
              <w:rPr>
                <w:rFonts w:hint="default" w:ascii="Arial" w:hAnsi="Arial" w:cs="Arial"/>
                <w:i w:val="0"/>
                <w:iCs w:val="0"/>
                <w:color w:val="000000"/>
                <w:sz w:val="20"/>
                <w:szCs w:val="20"/>
                <w:highlight w:val="none"/>
                <w:u w:val="none"/>
              </w:rPr>
            </w:pPr>
          </w:p>
        </w:tc>
      </w:tr>
      <w:tr w14:paraId="35AB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45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004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B155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人工清理地面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113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1.原地面地表杂物清理,地面卫生打扫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2.清洁地面:彻底清除基层的油污、浮灰、松散物等,确保无明水、无裂缝。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F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A6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11874.06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9ED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3DD50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07A59">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54393">
            <w:pPr>
              <w:rPr>
                <w:rFonts w:hint="default" w:ascii="Arial" w:hAnsi="Arial" w:cs="Arial"/>
                <w:i w:val="0"/>
                <w:iCs w:val="0"/>
                <w:color w:val="000000"/>
                <w:sz w:val="20"/>
                <w:szCs w:val="20"/>
                <w:highlight w:val="none"/>
                <w:u w:val="none"/>
              </w:rPr>
            </w:pPr>
          </w:p>
        </w:tc>
      </w:tr>
      <w:tr w14:paraId="30A0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AA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EC5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786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自流坪楼地面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E0C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1.水泥基自流平砂浆地面 厚5mm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14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F3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11444.06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498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B4C2B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472A8">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88D24">
            <w:pPr>
              <w:rPr>
                <w:rFonts w:hint="default" w:ascii="Arial" w:hAnsi="Arial" w:cs="Arial"/>
                <w:i w:val="0"/>
                <w:iCs w:val="0"/>
                <w:color w:val="000000"/>
                <w:sz w:val="20"/>
                <w:szCs w:val="20"/>
                <w:highlight w:val="none"/>
                <w:u w:val="none"/>
              </w:rPr>
            </w:pPr>
          </w:p>
        </w:tc>
      </w:tr>
      <w:tr w14:paraId="6501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B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C02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011101003002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3360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混凝土楼地面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172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1.C30细石混凝土楼地面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00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B3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9D6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02009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D14A4">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64393">
            <w:pPr>
              <w:rPr>
                <w:rFonts w:hint="default" w:ascii="Arial" w:hAnsi="Arial" w:cs="Arial"/>
                <w:i w:val="0"/>
                <w:iCs w:val="0"/>
                <w:color w:val="000000"/>
                <w:sz w:val="20"/>
                <w:szCs w:val="20"/>
                <w:highlight w:val="none"/>
                <w:u w:val="none"/>
              </w:rPr>
            </w:pPr>
          </w:p>
        </w:tc>
      </w:tr>
      <w:tr w14:paraId="5D6C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3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4C7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650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轻钢龙骨玻璃地面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37E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1.轻钢龙骨玻璃地面、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2.规格：400*2400mm，厚度：15mm+1.52+15mm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DF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CC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2C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BA835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250BF">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194DB">
            <w:pPr>
              <w:rPr>
                <w:rFonts w:hint="default" w:ascii="Arial" w:hAnsi="Arial" w:cs="Arial"/>
                <w:i w:val="0"/>
                <w:iCs w:val="0"/>
                <w:color w:val="000000"/>
                <w:sz w:val="20"/>
                <w:szCs w:val="20"/>
                <w:highlight w:val="none"/>
                <w:u w:val="none"/>
              </w:rPr>
            </w:pPr>
          </w:p>
        </w:tc>
      </w:tr>
      <w:tr w14:paraId="0FFF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6BD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BED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398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3A37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742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E96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07F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C683D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BE374">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1A98B">
            <w:pPr>
              <w:rPr>
                <w:rFonts w:hint="default" w:ascii="Arial" w:hAnsi="Arial" w:cs="Arial"/>
                <w:i w:val="0"/>
                <w:iCs w:val="0"/>
                <w:color w:val="000000"/>
                <w:sz w:val="20"/>
                <w:szCs w:val="20"/>
                <w:highlight w:val="none"/>
                <w:u w:val="none"/>
              </w:rPr>
            </w:pPr>
          </w:p>
        </w:tc>
      </w:tr>
      <w:tr w14:paraId="5FBE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84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B54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919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门窗洞口零星修复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321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1.门窗洞口零星修复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D7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7F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DB4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F7804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C82FC">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D0E06">
            <w:pPr>
              <w:rPr>
                <w:rFonts w:hint="default" w:ascii="Arial" w:hAnsi="Arial" w:cs="Arial"/>
                <w:i w:val="0"/>
                <w:iCs w:val="0"/>
                <w:color w:val="000000"/>
                <w:sz w:val="20"/>
                <w:szCs w:val="20"/>
                <w:highlight w:val="none"/>
                <w:u w:val="none"/>
              </w:rPr>
            </w:pPr>
          </w:p>
        </w:tc>
      </w:tr>
      <w:tr w14:paraId="7D04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7B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FC6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6434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成品橡胶加厚承重斜坡垫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511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1.成品橡胶加厚承重斜坡垫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61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E2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68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F3F22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962F3">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D6EF">
            <w:pPr>
              <w:rPr>
                <w:rFonts w:hint="default" w:ascii="Arial" w:hAnsi="Arial" w:cs="Arial"/>
                <w:i w:val="0"/>
                <w:iCs w:val="0"/>
                <w:color w:val="000000"/>
                <w:sz w:val="20"/>
                <w:szCs w:val="20"/>
                <w:highlight w:val="none"/>
                <w:u w:val="none"/>
              </w:rPr>
            </w:pPr>
          </w:p>
        </w:tc>
      </w:tr>
      <w:tr w14:paraId="784A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8D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24C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2338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里脚手架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AC3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1.内墙面粉饰脚手架 10m以内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2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0A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DE8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EDED8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AB2FE">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62F72">
            <w:pPr>
              <w:rPr>
                <w:rFonts w:hint="default" w:ascii="Arial" w:hAnsi="Arial" w:cs="Arial"/>
                <w:i w:val="0"/>
                <w:iCs w:val="0"/>
                <w:color w:val="000000"/>
                <w:sz w:val="20"/>
                <w:szCs w:val="20"/>
                <w:highlight w:val="none"/>
                <w:u w:val="none"/>
              </w:rPr>
            </w:pPr>
          </w:p>
        </w:tc>
      </w:tr>
      <w:tr w14:paraId="3053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7E92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安装部分</w:t>
            </w:r>
          </w:p>
        </w:tc>
        <w:tc>
          <w:tcPr>
            <w:tcW w:w="0" w:type="auto"/>
            <w:tcBorders>
              <w:top w:val="single" w:color="000000" w:sz="4" w:space="0"/>
              <w:left w:val="nil"/>
              <w:bottom w:val="single" w:color="000000" w:sz="4" w:space="0"/>
              <w:right w:val="nil"/>
            </w:tcBorders>
            <w:shd w:val="clear" w:color="auto" w:fill="auto"/>
            <w:vAlign w:val="center"/>
          </w:tcPr>
          <w:p w14:paraId="73B80B0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nil"/>
              <w:bottom w:val="single" w:color="000000" w:sz="4" w:space="0"/>
              <w:right w:val="nil"/>
            </w:tcBorders>
            <w:shd w:val="clear" w:color="auto" w:fill="auto"/>
            <w:noWrap/>
            <w:vAlign w:val="center"/>
          </w:tcPr>
          <w:p w14:paraId="3ACCF28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nil"/>
              <w:bottom w:val="single" w:color="000000" w:sz="4" w:space="0"/>
              <w:right w:val="nil"/>
            </w:tcBorders>
            <w:shd w:val="clear" w:color="auto" w:fill="auto"/>
            <w:noWrap/>
            <w:vAlign w:val="center"/>
          </w:tcPr>
          <w:p w14:paraId="133A492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2AA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35C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9B495">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2F7AF">
            <w:pPr>
              <w:rPr>
                <w:rFonts w:hint="default" w:ascii="Arial" w:hAnsi="Arial" w:cs="Arial"/>
                <w:i w:val="0"/>
                <w:iCs w:val="0"/>
                <w:color w:val="000000"/>
                <w:sz w:val="20"/>
                <w:szCs w:val="20"/>
                <w:highlight w:val="none"/>
                <w:u w:val="none"/>
              </w:rPr>
            </w:pPr>
          </w:p>
        </w:tc>
      </w:tr>
      <w:tr w14:paraId="05BB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36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7A2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030412002004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FE5E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工厂灯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31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1.工厂罩灯安装 吊链式LED工厂灯 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54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A0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7ABC">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81D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50DB4">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68073">
            <w:pPr>
              <w:rPr>
                <w:rFonts w:hint="default" w:ascii="Arial" w:hAnsi="Arial" w:cs="Arial"/>
                <w:i w:val="0"/>
                <w:iCs w:val="0"/>
                <w:color w:val="000000"/>
                <w:sz w:val="20"/>
                <w:szCs w:val="20"/>
                <w:highlight w:val="none"/>
                <w:u w:val="none"/>
              </w:rPr>
            </w:pPr>
          </w:p>
        </w:tc>
      </w:tr>
      <w:tr w14:paraId="0F5A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D4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972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030411002004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486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DC8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1.50mm*50mm金属线槽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9C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29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2438.65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F81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C73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3009A">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D02F8">
            <w:pPr>
              <w:rPr>
                <w:rFonts w:hint="default" w:ascii="Arial" w:hAnsi="Arial" w:cs="Arial"/>
                <w:i w:val="0"/>
                <w:iCs w:val="0"/>
                <w:color w:val="000000"/>
                <w:sz w:val="20"/>
                <w:szCs w:val="20"/>
                <w:highlight w:val="none"/>
                <w:u w:val="none"/>
              </w:rPr>
            </w:pPr>
          </w:p>
        </w:tc>
      </w:tr>
      <w:tr w14:paraId="6265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5C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22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DA7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C49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D7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11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951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5702">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FE205">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AE749">
            <w:pPr>
              <w:rPr>
                <w:rFonts w:hint="default" w:ascii="Arial" w:hAnsi="Arial" w:cs="Arial"/>
                <w:i w:val="0"/>
                <w:iCs w:val="0"/>
                <w:color w:val="000000"/>
                <w:sz w:val="20"/>
                <w:szCs w:val="20"/>
                <w:highlight w:val="none"/>
                <w:u w:val="none"/>
              </w:rPr>
            </w:pPr>
          </w:p>
        </w:tc>
      </w:tr>
      <w:tr w14:paraId="0408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C9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8EB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F6F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90D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89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EA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57F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AD6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F761D">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AE205">
            <w:pPr>
              <w:rPr>
                <w:rFonts w:hint="default" w:ascii="Arial" w:hAnsi="Arial" w:cs="Arial"/>
                <w:i w:val="0"/>
                <w:iCs w:val="0"/>
                <w:color w:val="000000"/>
                <w:sz w:val="20"/>
                <w:szCs w:val="20"/>
                <w:highlight w:val="none"/>
                <w:u w:val="none"/>
              </w:rPr>
            </w:pPr>
          </w:p>
        </w:tc>
      </w:tr>
      <w:tr w14:paraId="323B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67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29D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A45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F1F5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1.名称:金属防火桥架300*100;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C1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64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39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C80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D7E6A">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A12FE">
            <w:pPr>
              <w:rPr>
                <w:rFonts w:hint="default" w:ascii="Arial" w:hAnsi="Arial" w:cs="Arial"/>
                <w:i w:val="0"/>
                <w:iCs w:val="0"/>
                <w:color w:val="000000"/>
                <w:sz w:val="20"/>
                <w:szCs w:val="20"/>
                <w:highlight w:val="none"/>
                <w:u w:val="none"/>
              </w:rPr>
            </w:pPr>
          </w:p>
        </w:tc>
      </w:tr>
      <w:tr w14:paraId="1891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8C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587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B5B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43CB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1.名称:金属防火桥架400*100;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85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88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8A3F">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CC1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36820">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620CF">
            <w:pPr>
              <w:rPr>
                <w:rFonts w:hint="default" w:ascii="Arial" w:hAnsi="Arial" w:cs="Arial"/>
                <w:i w:val="0"/>
                <w:iCs w:val="0"/>
                <w:color w:val="000000"/>
                <w:sz w:val="20"/>
                <w:szCs w:val="20"/>
                <w:highlight w:val="none"/>
                <w:u w:val="none"/>
              </w:rPr>
            </w:pPr>
          </w:p>
        </w:tc>
      </w:tr>
      <w:tr w14:paraId="4D9E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3B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3FE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FF0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2598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1.名称:金属防火桥架500*100;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28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36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24E2">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BB7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D260">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696E3">
            <w:pPr>
              <w:rPr>
                <w:rFonts w:hint="default" w:ascii="Arial" w:hAnsi="Arial" w:cs="Arial"/>
                <w:i w:val="0"/>
                <w:iCs w:val="0"/>
                <w:color w:val="000000"/>
                <w:sz w:val="20"/>
                <w:szCs w:val="20"/>
                <w:highlight w:val="none"/>
                <w:u w:val="none"/>
              </w:rPr>
            </w:pPr>
          </w:p>
        </w:tc>
      </w:tr>
      <w:tr w14:paraId="3AEF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AA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465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156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D34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1.名称:镀锌线管DN50;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C9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D2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5AD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F1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57DE6">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EFDA5">
            <w:pPr>
              <w:rPr>
                <w:rFonts w:hint="default" w:ascii="Arial" w:hAnsi="Arial" w:cs="Arial"/>
                <w:i w:val="0"/>
                <w:iCs w:val="0"/>
                <w:color w:val="000000"/>
                <w:sz w:val="20"/>
                <w:szCs w:val="20"/>
                <w:highlight w:val="none"/>
                <w:u w:val="none"/>
              </w:rPr>
            </w:pPr>
          </w:p>
        </w:tc>
      </w:tr>
      <w:tr w14:paraId="4105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C1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0C1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F8BB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9FE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1.名称:属软管 公称管径（mm以内） 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A5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E3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DC6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E25C">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836D0">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9773C">
            <w:pPr>
              <w:rPr>
                <w:rFonts w:hint="default" w:ascii="Arial" w:hAnsi="Arial" w:cs="Arial"/>
                <w:i w:val="0"/>
                <w:iCs w:val="0"/>
                <w:color w:val="000000"/>
                <w:sz w:val="20"/>
                <w:szCs w:val="20"/>
                <w:highlight w:val="none"/>
                <w:u w:val="none"/>
              </w:rPr>
            </w:pPr>
          </w:p>
        </w:tc>
      </w:tr>
      <w:tr w14:paraId="5360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82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44A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031002001004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913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管道支架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639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1.材质:钢制支架;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2.管架形式:电缆桥架支架;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B2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04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F97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1C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3DF93">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B13DD">
            <w:pPr>
              <w:rPr>
                <w:rFonts w:hint="default" w:ascii="Arial" w:hAnsi="Arial" w:cs="Arial"/>
                <w:i w:val="0"/>
                <w:iCs w:val="0"/>
                <w:color w:val="000000"/>
                <w:sz w:val="20"/>
                <w:szCs w:val="20"/>
                <w:highlight w:val="none"/>
                <w:u w:val="none"/>
              </w:rPr>
            </w:pPr>
          </w:p>
        </w:tc>
      </w:tr>
      <w:tr w14:paraId="0FF5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58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D8D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8C2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配电箱ZAL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B7A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1.规格: 半周长2.5米以内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2.安装方式: 嵌墙暗装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3.其他：元器件详见系统图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6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F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2E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13F5">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DB62D">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7B36F">
            <w:pPr>
              <w:rPr>
                <w:rFonts w:hint="default" w:ascii="Arial" w:hAnsi="Arial" w:cs="Arial"/>
                <w:i w:val="0"/>
                <w:iCs w:val="0"/>
                <w:color w:val="000000"/>
                <w:sz w:val="20"/>
                <w:szCs w:val="20"/>
                <w:highlight w:val="none"/>
                <w:u w:val="none"/>
              </w:rPr>
            </w:pPr>
          </w:p>
        </w:tc>
      </w:tr>
      <w:tr w14:paraId="5EFE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DA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90D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0F9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 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FD15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1.规格: 半周长1.5米以内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2.安装方式: 嵌墙暗装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3.其他：元器件详见系统图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3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14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403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F8E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10C57">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53C21">
            <w:pPr>
              <w:rPr>
                <w:rFonts w:hint="default" w:ascii="Arial" w:hAnsi="Arial" w:cs="Arial"/>
                <w:i w:val="0"/>
                <w:iCs w:val="0"/>
                <w:color w:val="000000"/>
                <w:sz w:val="20"/>
                <w:szCs w:val="20"/>
                <w:highlight w:val="none"/>
                <w:u w:val="none"/>
              </w:rPr>
            </w:pPr>
          </w:p>
        </w:tc>
      </w:tr>
      <w:tr w14:paraId="40FC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10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FC9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44A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WDZ-B1-BYJ-3x2.5mm2;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6A5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1.型号:WDZ-B1-BYJ-3x2.5mm2;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2.配线形式:线槽穿线;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D5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69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027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1BE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EA841">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25EB5">
            <w:pPr>
              <w:rPr>
                <w:rFonts w:hint="default" w:ascii="Arial" w:hAnsi="Arial" w:cs="Arial"/>
                <w:i w:val="0"/>
                <w:iCs w:val="0"/>
                <w:color w:val="000000"/>
                <w:sz w:val="20"/>
                <w:szCs w:val="20"/>
                <w:highlight w:val="none"/>
                <w:u w:val="none"/>
              </w:rPr>
            </w:pPr>
          </w:p>
        </w:tc>
      </w:tr>
      <w:tr w14:paraId="60CE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4E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768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4B8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D24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1.型号:WDZ-B1-YJY-5×10mm2;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DD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66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E83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0E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791EA">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5C97C">
            <w:pPr>
              <w:rPr>
                <w:rFonts w:hint="default" w:ascii="Arial" w:hAnsi="Arial" w:cs="Arial"/>
                <w:i w:val="0"/>
                <w:iCs w:val="0"/>
                <w:color w:val="000000"/>
                <w:sz w:val="20"/>
                <w:szCs w:val="20"/>
                <w:highlight w:val="none"/>
                <w:u w:val="none"/>
              </w:rPr>
            </w:pPr>
          </w:p>
        </w:tc>
      </w:tr>
      <w:tr w14:paraId="03CB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0B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A49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D7B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075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1.型号:WDZ-B1-YJY-4x185+1x95;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C5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25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686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840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75675">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F9C94">
            <w:pPr>
              <w:rPr>
                <w:rFonts w:hint="default" w:ascii="Arial" w:hAnsi="Arial" w:cs="Arial"/>
                <w:i w:val="0"/>
                <w:iCs w:val="0"/>
                <w:color w:val="000000"/>
                <w:sz w:val="20"/>
                <w:szCs w:val="20"/>
                <w:highlight w:val="none"/>
                <w:u w:val="none"/>
              </w:rPr>
            </w:pPr>
          </w:p>
        </w:tc>
      </w:tr>
      <w:tr w14:paraId="218C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9E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57B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361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0F5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1.型号:WDZ-B1-YJY-4x185+1x95;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29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B9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A9D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E88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5C5A5">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233CF">
            <w:pPr>
              <w:rPr>
                <w:rFonts w:hint="default" w:ascii="Arial" w:hAnsi="Arial" w:cs="Arial"/>
                <w:i w:val="0"/>
                <w:iCs w:val="0"/>
                <w:color w:val="000000"/>
                <w:sz w:val="20"/>
                <w:szCs w:val="20"/>
                <w:highlight w:val="none"/>
                <w:u w:val="none"/>
              </w:rPr>
            </w:pPr>
          </w:p>
        </w:tc>
      </w:tr>
      <w:tr w14:paraId="225A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4C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3D4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FEA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E13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1.型号:WDZ-B1-YJY-5×10mm2;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B7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2F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D08C">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BA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E4D5D">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B0B1E">
            <w:pPr>
              <w:rPr>
                <w:rFonts w:hint="default" w:ascii="Arial" w:hAnsi="Arial" w:cs="Arial"/>
                <w:i w:val="0"/>
                <w:iCs w:val="0"/>
                <w:color w:val="000000"/>
                <w:sz w:val="20"/>
                <w:szCs w:val="20"/>
                <w:highlight w:val="none"/>
                <w:u w:val="none"/>
              </w:rPr>
            </w:pPr>
          </w:p>
        </w:tc>
      </w:tr>
      <w:tr w14:paraId="153F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76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5DA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031301017001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EB7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脚手架搭拆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5D1B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9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77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25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AF3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50022">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570ED">
            <w:pPr>
              <w:rPr>
                <w:rFonts w:hint="default" w:ascii="Arial" w:hAnsi="Arial" w:cs="Arial"/>
                <w:i w:val="0"/>
                <w:iCs w:val="0"/>
                <w:color w:val="000000"/>
                <w:sz w:val="20"/>
                <w:szCs w:val="20"/>
                <w:highlight w:val="none"/>
                <w:u w:val="none"/>
              </w:rPr>
            </w:pPr>
          </w:p>
        </w:tc>
      </w:tr>
      <w:tr w14:paraId="5F02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749">
            <w:pPr>
              <w:jc w:val="center"/>
              <w:rPr>
                <w:rFonts w:hint="eastAsia" w:ascii="宋体" w:hAnsi="宋体" w:eastAsia="宋体" w:cs="宋体"/>
                <w:i w:val="0"/>
                <w:iCs w:val="0"/>
                <w:color w:val="000000"/>
                <w:sz w:val="18"/>
                <w:szCs w:val="18"/>
                <w:highlight w:val="none"/>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9A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B5ADA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54322">
            <w:pPr>
              <w:rPr>
                <w:rFonts w:hint="default" w:ascii="Arial" w:hAnsi="Arial" w:cs="Arial"/>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B3181">
            <w:pPr>
              <w:rPr>
                <w:rFonts w:hint="default" w:ascii="Arial" w:hAnsi="Arial" w:cs="Arial"/>
                <w:i w:val="0"/>
                <w:iCs w:val="0"/>
                <w:color w:val="000000"/>
                <w:sz w:val="20"/>
                <w:szCs w:val="20"/>
                <w:highlight w:val="none"/>
                <w:u w:val="none"/>
              </w:rPr>
            </w:pPr>
          </w:p>
        </w:tc>
      </w:tr>
      <w:tr w14:paraId="6344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0" w:type="auto"/>
            <w:tcBorders>
              <w:top w:val="nil"/>
              <w:left w:val="nil"/>
              <w:bottom w:val="nil"/>
              <w:right w:val="nil"/>
            </w:tcBorders>
            <w:shd w:val="clear" w:color="auto" w:fill="auto"/>
            <w:noWrap/>
            <w:vAlign w:val="bottom"/>
          </w:tcPr>
          <w:p w14:paraId="3A4996FB">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08EF1074">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65EC140A">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0182AB26">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2770A3E9">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2019F2F8">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21F61C05">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05355F94">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0047C30B">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shd w:val="clear" w:color="auto" w:fill="auto"/>
            <w:noWrap/>
            <w:vAlign w:val="bottom"/>
          </w:tcPr>
          <w:p w14:paraId="1F60B334">
            <w:pPr>
              <w:rPr>
                <w:rFonts w:hint="default" w:ascii="Arial" w:hAnsi="Arial" w:cs="Arial"/>
                <w:i w:val="0"/>
                <w:iCs w:val="0"/>
                <w:color w:val="000000"/>
                <w:sz w:val="20"/>
                <w:szCs w:val="20"/>
                <w:highlight w:val="none"/>
                <w:u w:val="none"/>
              </w:rPr>
            </w:pPr>
          </w:p>
        </w:tc>
      </w:tr>
      <w:tr w14:paraId="6D7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326AAB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备注：1、本表所有单价包含完成本细目工程的所有费用（含材料、人工、机械、场地、协调、安全生产、各种措施费、各种规费、利润</w:t>
            </w:r>
            <w:r>
              <w:rPr>
                <w:rFonts w:hint="eastAsia" w:ascii="宋体" w:hAnsi="宋体" w:eastAsia="宋体" w:cs="宋体"/>
                <w:i w:val="0"/>
                <w:iCs w:val="0"/>
                <w:color w:val="FF0000"/>
                <w:kern w:val="0"/>
                <w:sz w:val="18"/>
                <w:szCs w:val="18"/>
                <w:highlight w:val="none"/>
                <w:u w:val="none"/>
                <w:lang w:val="en-US" w:eastAsia="zh-CN" w:bidi="ar"/>
              </w:rPr>
              <w:t>、税金</w:t>
            </w:r>
            <w:r>
              <w:rPr>
                <w:rFonts w:hint="eastAsia" w:ascii="宋体" w:hAnsi="宋体" w:eastAsia="宋体" w:cs="宋体"/>
                <w:i w:val="0"/>
                <w:iCs w:val="0"/>
                <w:color w:val="000000"/>
                <w:kern w:val="0"/>
                <w:sz w:val="18"/>
                <w:szCs w:val="18"/>
                <w:highlight w:val="none"/>
                <w:u w:val="none"/>
                <w:lang w:val="en-US" w:eastAsia="zh-CN" w:bidi="ar"/>
              </w:rPr>
              <w:t xml:space="preserve">及合同约定的其他费用等）。        </w:t>
            </w:r>
          </w:p>
        </w:tc>
      </w:tr>
      <w:tr w14:paraId="43A3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6C0E9B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2、各细目的工作内容及结算规则包括但不限于甲方与业主签订的合同相关规定要求，凡业主不给予甲方计量的相关内容，视为包含在相关工作以内。</w:t>
            </w:r>
          </w:p>
        </w:tc>
      </w:tr>
      <w:tr w14:paraId="7B42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19FD5C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3、材料由甲方采购材料时，甲方将根据购买时价格扣除材料费用。</w:t>
            </w:r>
          </w:p>
        </w:tc>
      </w:tr>
      <w:tr w14:paraId="02BB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40A5E5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4、此表中各项单价执行过程中不作调整。</w:t>
            </w:r>
          </w:p>
        </w:tc>
      </w:tr>
      <w:tr w14:paraId="4181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2164825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5、预估的工程数量不作为结算和价格调整的依据，结算数量不得超过经甲方验收合格并计量、审计的工程数量。</w:t>
            </w:r>
          </w:p>
        </w:tc>
      </w:tr>
      <w:tr w14:paraId="0B97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0"/>
            <w:tcBorders>
              <w:top w:val="nil"/>
              <w:left w:val="nil"/>
              <w:bottom w:val="nil"/>
              <w:right w:val="nil"/>
            </w:tcBorders>
            <w:shd w:val="clear" w:color="auto" w:fill="auto"/>
            <w:vAlign w:val="center"/>
          </w:tcPr>
          <w:p w14:paraId="0B596CB9">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*工程量清单需</w:t>
            </w:r>
            <w:r>
              <w:rPr>
                <w:rFonts w:hint="eastAsia" w:ascii="宋体" w:hAnsi="宋体" w:cs="宋体"/>
                <w:i w:val="0"/>
                <w:iCs w:val="0"/>
                <w:color w:val="000000"/>
                <w:kern w:val="0"/>
                <w:sz w:val="18"/>
                <w:szCs w:val="18"/>
                <w:highlight w:val="none"/>
                <w:u w:val="none"/>
                <w:lang w:val="en-US" w:eastAsia="zh-CN" w:bidi="ar"/>
              </w:rPr>
              <w:t>盖</w:t>
            </w:r>
            <w:r>
              <w:rPr>
                <w:rFonts w:hint="eastAsia" w:ascii="宋体" w:hAnsi="宋体" w:eastAsia="宋体" w:cs="宋体"/>
                <w:i w:val="0"/>
                <w:iCs w:val="0"/>
                <w:color w:val="000000"/>
                <w:kern w:val="0"/>
                <w:sz w:val="18"/>
                <w:szCs w:val="18"/>
                <w:highlight w:val="none"/>
                <w:u w:val="none"/>
                <w:lang w:val="en-US" w:eastAsia="zh-CN" w:bidi="ar"/>
              </w:rPr>
              <w:t>参选单位公章</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一级注册造价工程师执业章及一级注册造价工程师签字</w:t>
            </w:r>
            <w:r>
              <w:rPr>
                <w:rFonts w:hint="eastAsia" w:ascii="宋体" w:hAnsi="宋体" w:cs="宋体"/>
                <w:i w:val="0"/>
                <w:iCs w:val="0"/>
                <w:color w:val="000000"/>
                <w:kern w:val="0"/>
                <w:sz w:val="18"/>
                <w:szCs w:val="18"/>
                <w:highlight w:val="none"/>
                <w:u w:val="none"/>
                <w:lang w:val="en-US" w:eastAsia="zh-CN" w:bidi="ar"/>
              </w:rPr>
              <w:t>。</w:t>
            </w:r>
          </w:p>
        </w:tc>
      </w:tr>
    </w:tbl>
    <w:p w14:paraId="1F2DE880">
      <w:pPr>
        <w:pStyle w:val="16"/>
        <w:rPr>
          <w:rFonts w:hint="eastAsia"/>
          <w:highlight w:val="none"/>
          <w:lang w:val="en-US" w:eastAsia="zh-CN"/>
        </w:rPr>
        <w:sectPr>
          <w:pgSz w:w="16840" w:h="11907" w:orient="landscape"/>
          <w:pgMar w:top="1418" w:right="1701" w:bottom="1418" w:left="2041"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76AAF29D">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highlight w:val="none"/>
          <w:lang w:val="en-US" w:eastAsia="zh-CN" w:bidi="ar-SA"/>
        </w:rPr>
      </w:pPr>
      <w:r>
        <w:rPr>
          <w:rFonts w:hint="eastAsia" w:ascii="Arial" w:hAnsi="Arial" w:eastAsia="黑体" w:cs="Times New Roman"/>
          <w:b/>
          <w:kern w:val="2"/>
          <w:sz w:val="48"/>
          <w:szCs w:val="48"/>
          <w:highlight w:val="none"/>
          <w:lang w:val="en-US" w:eastAsia="zh-CN" w:bidi="ar-SA"/>
        </w:rPr>
        <w:t>合同文件</w:t>
      </w:r>
    </w:p>
    <w:p w14:paraId="25DCA10D">
      <w:pPr>
        <w:widowControl/>
        <w:spacing w:beforeLines="0" w:afterLines="0" w:line="1200" w:lineRule="exact"/>
        <w:jc w:val="center"/>
        <w:rPr>
          <w:rFonts w:hint="eastAsia" w:ascii="宋体" w:hAnsi="宋体" w:eastAsia="宋体"/>
          <w:b/>
          <w:color w:val="FF0000"/>
          <w:sz w:val="32"/>
          <w:szCs w:val="32"/>
          <w:highlight w:val="none"/>
        </w:rPr>
      </w:pPr>
      <w:r>
        <w:rPr>
          <w:rFonts w:hint="eastAsia" w:ascii="宋体" w:hAnsi="宋体" w:eastAsia="宋体"/>
          <w:b/>
          <w:color w:val="FF0000"/>
          <w:kern w:val="0"/>
          <w:sz w:val="32"/>
          <w:szCs w:val="32"/>
          <w:highlight w:val="none"/>
          <w:lang w:bidi="ar"/>
        </w:rPr>
        <w:t xml:space="preserve"> </w:t>
      </w:r>
      <w:r>
        <w:rPr>
          <w:rFonts w:hint="eastAsia" w:ascii="宋体" w:hAnsi="宋体" w:eastAsia="宋体" w:cs="宋体"/>
          <w:b/>
          <w:color w:val="000000" w:themeColor="text1"/>
          <w:kern w:val="0"/>
          <w:sz w:val="32"/>
          <w:szCs w:val="32"/>
          <w:highlight w:val="none"/>
          <w:lang w:bidi="ar"/>
          <w14:textFill>
            <w14:solidFill>
              <w14:schemeClr w14:val="tx1"/>
            </w14:solidFill>
          </w14:textFill>
        </w:rPr>
        <w:t>合同模板</w:t>
      </w:r>
    </w:p>
    <w:p w14:paraId="1A33C89A">
      <w:pPr>
        <w:widowControl/>
        <w:spacing w:beforeLines="0" w:afterLines="0" w:line="240" w:lineRule="exact"/>
        <w:jc w:val="center"/>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36FEECE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FF0000"/>
          <w:sz w:val="24"/>
          <w:szCs w:val="24"/>
          <w:highlight w:val="none"/>
        </w:rPr>
      </w:pPr>
      <w:r>
        <w:rPr>
          <w:rFonts w:hint="eastAsia" w:ascii="宋体" w:hAnsi="宋体" w:eastAsia="宋体" w:cs="宋体"/>
          <w:kern w:val="0"/>
          <w:sz w:val="24"/>
          <w:szCs w:val="24"/>
          <w:highlight w:val="none"/>
          <w:lang w:bidi="ar"/>
        </w:rPr>
        <w:t>劳务发包方（甲方）：</w:t>
      </w:r>
      <w:r>
        <w:rPr>
          <w:rFonts w:hint="eastAsia" w:ascii="宋体" w:hAnsi="宋体" w:eastAsia="宋体" w:cs="宋体"/>
          <w:color w:val="000000" w:themeColor="text1"/>
          <w:kern w:val="0"/>
          <w:sz w:val="24"/>
          <w:szCs w:val="24"/>
          <w:highlight w:val="none"/>
          <w:lang w:bidi="ar"/>
          <w14:textFill>
            <w14:solidFill>
              <w14:schemeClr w14:val="tx1"/>
            </w14:solidFill>
          </w14:textFill>
        </w:rPr>
        <w:t>衡阳弘尊建筑工程有限公司</w:t>
      </w:r>
    </w:p>
    <w:p w14:paraId="3FBF69D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注册地址：湖南省衡阳市蒸湘区解放西路1号财富大厦1911室</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邮编：421001</w:t>
      </w:r>
    </w:p>
    <w:p w14:paraId="47BF163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通讯地址：湖南省衡阳市蒸湘区解放西路1号财富大厦1911室</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邮编：421001</w:t>
      </w:r>
    </w:p>
    <w:p w14:paraId="3E4486D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法定代表人：唐林阳</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职务：董事长</w:t>
      </w:r>
    </w:p>
    <w:p w14:paraId="5C80FFA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纳税人身份：增值税一般纳税人</w:t>
      </w:r>
    </w:p>
    <w:p w14:paraId="06CE54E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纳税人识别号：91430181MA4QR40G7Q</w:t>
      </w:r>
    </w:p>
    <w:p w14:paraId="704F193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基本存款账户银行名称：中国民生银行股份有限公司衡阳分行</w:t>
      </w:r>
    </w:p>
    <w:p w14:paraId="27484C2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基本存款账户银行账号：162141315</w:t>
      </w:r>
    </w:p>
    <w:p w14:paraId="7BAE50B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劳务承包方（乙方）：</w:t>
      </w:r>
    </w:p>
    <w:p w14:paraId="35299E4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注册地址：</w:t>
      </w:r>
    </w:p>
    <w:p w14:paraId="6EF9278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 xml:space="preserve">通讯地址：         </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w:t>
      </w:r>
    </w:p>
    <w:p w14:paraId="2806EDE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法定代表人：</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职务：</w:t>
      </w:r>
    </w:p>
    <w:p w14:paraId="0D7BEB6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纳税人身份：</w:t>
      </w:r>
    </w:p>
    <w:p w14:paraId="61E34D8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纳税人识别号：</w:t>
      </w:r>
    </w:p>
    <w:p w14:paraId="2755F94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基本存款账户银行名称：</w:t>
      </w:r>
    </w:p>
    <w:p w14:paraId="420F2F6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基本存款账户银行账号：</w:t>
      </w:r>
    </w:p>
    <w:p w14:paraId="290EE41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kern w:val="0"/>
          <w:sz w:val="24"/>
          <w:szCs w:val="24"/>
          <w:highlight w:val="none"/>
          <w:lang w:bidi="ar"/>
        </w:rPr>
        <w:t xml:space="preserve"> </w:t>
      </w:r>
    </w:p>
    <w:p w14:paraId="057F6A7D">
      <w:pPr>
        <w:keepNext w:val="0"/>
        <w:keepLines w:val="0"/>
        <w:pageBreakBefore w:val="0"/>
        <w:widowControl/>
        <w:kinsoku/>
        <w:wordWrap/>
        <w:overflowPunct/>
        <w:topLinePunct w:val="0"/>
        <w:autoSpaceDE/>
        <w:autoSpaceDN/>
        <w:bidi w:val="0"/>
        <w:snapToGrid/>
        <w:spacing w:beforeLines="0" w:afterLines="0" w:line="560" w:lineRule="exact"/>
        <w:jc w:val="left"/>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019BD288">
      <w:pPr>
        <w:keepNext w:val="0"/>
        <w:keepLines w:val="0"/>
        <w:pageBreakBefore w:val="0"/>
        <w:widowControl/>
        <w:kinsoku/>
        <w:wordWrap/>
        <w:overflowPunct/>
        <w:topLinePunct w:val="0"/>
        <w:autoSpaceDE/>
        <w:autoSpaceDN/>
        <w:bidi w:val="0"/>
        <w:snapToGrid/>
        <w:spacing w:beforeLines="0" w:afterLines="0" w:line="560" w:lineRule="exact"/>
        <w:jc w:val="center"/>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24DB923E">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u w:val="single"/>
        </w:rPr>
      </w:pPr>
      <w:r>
        <w:rPr>
          <w:rFonts w:hint="eastAsia" w:ascii="宋体" w:hAnsi="宋体" w:eastAsia="宋体" w:cs="宋体"/>
          <w:kern w:val="0"/>
          <w:sz w:val="24"/>
          <w:szCs w:val="24"/>
          <w:highlight w:val="none"/>
          <w:lang w:bidi="ar"/>
        </w:rPr>
        <w:t>依照《中华人民共和国民法典》、《中华人民共和国建筑法》及其他有关法律、法规、规范，遵循平等、自愿、公平和诚实信用的原则，甲、乙双方就项目</w:t>
      </w:r>
      <w:r>
        <w:rPr>
          <w:rFonts w:hint="eastAsia" w:ascii="宋体" w:hAnsi="宋体" w:eastAsia="宋体"/>
          <w:kern w:val="0"/>
          <w:sz w:val="24"/>
          <w:szCs w:val="24"/>
          <w:highlight w:val="none"/>
          <w:u w:val="single"/>
          <w:lang w:bidi="ar"/>
        </w:rPr>
        <w:t xml:space="preserve"> </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kern w:val="0"/>
          <w:sz w:val="24"/>
          <w:szCs w:val="24"/>
          <w:highlight w:val="none"/>
          <w:lang w:bidi="ar"/>
        </w:rPr>
        <w:t>劳务施工事项达成一致，为了明确双方的责任和义务，特订立本合同，以资共同遵守。</w:t>
      </w:r>
    </w:p>
    <w:p w14:paraId="2783F368">
      <w:pPr>
        <w:keepNext w:val="0"/>
        <w:keepLines w:val="0"/>
        <w:pageBreakBefore w:val="0"/>
        <w:widowControl/>
        <w:kinsoku/>
        <w:wordWrap/>
        <w:overflowPunct/>
        <w:topLinePunct w:val="0"/>
        <w:autoSpaceDE/>
        <w:autoSpaceDN/>
        <w:bidi w:val="0"/>
        <w:snapToGrid/>
        <w:spacing w:beforeLines="0" w:afterLines="0" w:line="560" w:lineRule="exact"/>
        <w:ind w:firstLine="501" w:firstLineChars="208"/>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一、分包工程概况</w:t>
      </w:r>
    </w:p>
    <w:p w14:paraId="0079674E">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1、工程名称：</w:t>
      </w:r>
      <w:r>
        <w:rPr>
          <w:rFonts w:hint="eastAsia" w:ascii="宋体" w:hAnsi="宋体" w:eastAsia="宋体" w:cs="宋体"/>
          <w:b/>
          <w:color w:val="000000"/>
          <w:kern w:val="24"/>
          <w:sz w:val="24"/>
          <w:szCs w:val="24"/>
          <w:highlight w:val="none"/>
          <w:u w:val="single"/>
          <w:lang w:bidi="ar"/>
        </w:rPr>
        <w:t xml:space="preserve">           </w:t>
      </w:r>
    </w:p>
    <w:p w14:paraId="4134279D">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2、工程地点：</w:t>
      </w:r>
      <w:r>
        <w:rPr>
          <w:rFonts w:hint="eastAsia" w:ascii="宋体" w:hAnsi="宋体" w:eastAsia="宋体" w:cs="宋体"/>
          <w:b/>
          <w:color w:val="000000"/>
          <w:kern w:val="24"/>
          <w:sz w:val="24"/>
          <w:szCs w:val="24"/>
          <w:highlight w:val="none"/>
          <w:u w:val="single"/>
          <w:lang w:bidi="ar"/>
        </w:rPr>
        <w:t xml:space="preserve">           </w:t>
      </w:r>
      <w:r>
        <w:rPr>
          <w:rFonts w:hint="eastAsia" w:ascii="宋体" w:hAnsi="宋体" w:eastAsia="宋体" w:cs="宋体"/>
          <w:kern w:val="0"/>
          <w:sz w:val="24"/>
          <w:szCs w:val="24"/>
          <w:highlight w:val="none"/>
          <w:lang w:bidi="ar"/>
        </w:rPr>
        <w:t xml:space="preserve">         </w:t>
      </w:r>
    </w:p>
    <w:p w14:paraId="0C2EB19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3、分包内容：</w:t>
      </w:r>
      <w:r>
        <w:rPr>
          <w:rFonts w:hint="eastAsia" w:ascii="宋体" w:hAnsi="宋体" w:eastAsia="宋体" w:cs="宋体"/>
          <w:b/>
          <w:color w:val="000000"/>
          <w:kern w:val="24"/>
          <w:sz w:val="24"/>
          <w:szCs w:val="24"/>
          <w:highlight w:val="none"/>
          <w:u w:val="single"/>
          <w:lang w:bidi="ar"/>
        </w:rPr>
        <w:t xml:space="preserve">           </w:t>
      </w:r>
      <w:r>
        <w:rPr>
          <w:rFonts w:hint="eastAsia" w:ascii="宋体" w:hAnsi="宋体" w:eastAsia="宋体" w:cs="宋体"/>
          <w:kern w:val="0"/>
          <w:sz w:val="24"/>
          <w:szCs w:val="24"/>
          <w:highlight w:val="none"/>
          <w:lang w:bidi="ar"/>
        </w:rPr>
        <w:t xml:space="preserve">           </w:t>
      </w:r>
    </w:p>
    <w:p w14:paraId="577E9193">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二、分包承包范围及内容</w:t>
      </w:r>
    </w:p>
    <w:p w14:paraId="7D5F5C4F">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1、承包范围：</w:t>
      </w:r>
    </w:p>
    <w:p w14:paraId="75FFDFE9">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本工程</w:t>
      </w:r>
      <w:r>
        <w:rPr>
          <w:rFonts w:hint="eastAsia" w:ascii="宋体" w:hAnsi="宋体" w:eastAsia="宋体"/>
          <w:kern w:val="0"/>
          <w:sz w:val="24"/>
          <w:szCs w:val="24"/>
          <w:highlight w:val="none"/>
          <w:u w:val="single"/>
          <w:lang w:bidi="ar"/>
        </w:rPr>
        <w:t xml:space="preserve">            </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kern w:val="0"/>
          <w:sz w:val="24"/>
          <w:szCs w:val="24"/>
          <w:highlight w:val="none"/>
          <w:lang w:bidi="ar"/>
        </w:rPr>
        <w:t>，详见施工图。</w:t>
      </w:r>
    </w:p>
    <w:p w14:paraId="297D6850">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2、劳务清包具体工程作业内容如下：</w:t>
      </w:r>
    </w:p>
    <w:p w14:paraId="1590978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2.1熟悉施工图纸及建筑施工规范要求，做好施工前的准备工作。</w:t>
      </w:r>
    </w:p>
    <w:p w14:paraId="6F45BC3C">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2.2分包内容及工艺说明详见《合同价格清单》。</w:t>
      </w:r>
    </w:p>
    <w:p w14:paraId="0F41F07A">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三、分包工程工期</w:t>
      </w:r>
    </w:p>
    <w:p w14:paraId="4C0A60A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乙方必须按照甲方总体进度要求保质保量安全地完成本协议工程范围内的所有工作，且必须按甲方要求的月计划完成甲方每月下达的生产进度任务。如遇特殊情况双方另行协商合同工期，以甲方规定的施工时间为准。</w:t>
      </w:r>
    </w:p>
    <w:p w14:paraId="35F38359">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2、乙方工作进度应满足甲方施工进度的要求，应服从甲方安排，如实际进度不能达到计划要求时，根据现场实际情况，乙方应主动组织加班赶工。甲方不另增补加班或赶工费。</w:t>
      </w:r>
    </w:p>
    <w:p w14:paraId="21B0CBAB">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3、乙方进度滞后时，甲方有权要求乙方进行整改、增加人员和设备投入，费用由乙方自理。乙方拒不执行或整改不力，工期仍达不到甲方或本工程业主的施工进度要求时，甲方有权分割乙方剩余工程，直至终止本协议，乙方必须服从或退场，由此造成的一切经济损失和责任由乙方承担。</w:t>
      </w:r>
    </w:p>
    <w:p w14:paraId="2B0E330C">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4、在施工过程中因乙方自身原因造成超过本协议工期，甲方按2000元/天给予罚款，并由乙方承担延期的违约责任。</w:t>
      </w:r>
    </w:p>
    <w:p w14:paraId="0C47FC58">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5、本合同工期已考虑以下内容:</w:t>
      </w:r>
    </w:p>
    <w:p w14:paraId="050A04F0">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5.1节假日及农忙季节对工期影响；</w:t>
      </w:r>
    </w:p>
    <w:p w14:paraId="0BF14587">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5.2雨季(不含台风暴雨及恶劣天气)对工期的影响；</w:t>
      </w:r>
    </w:p>
    <w:p w14:paraId="76E1DB7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5.3各分包、分项工程穿插施工对工期的影响；</w:t>
      </w:r>
    </w:p>
    <w:p w14:paraId="13CF89C8">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如遇连续阴雨、台风、暴雨、地震以及人力不可抗拒的因素,和连续停水停电超过24小时,工期按实际天数顺延，所有停工延期时间均以甲方签证认可的时间为准。</w:t>
      </w:r>
    </w:p>
    <w:p w14:paraId="3F78145F">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四、合同价款结算与支付</w:t>
      </w:r>
    </w:p>
    <w:p w14:paraId="4E31E20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1、工程价款及施工变更</w:t>
      </w:r>
    </w:p>
    <w:p w14:paraId="4E8AF9F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lang w:bidi="ar"/>
        </w:rPr>
        <w:t>1.1合同价款：</w:t>
      </w:r>
      <w:r>
        <w:rPr>
          <w:rFonts w:hint="eastAsia" w:ascii="宋体" w:hAnsi="宋体" w:eastAsia="宋体" w:cs="宋体"/>
          <w:kern w:val="0"/>
          <w:sz w:val="24"/>
          <w:szCs w:val="24"/>
          <w:highlight w:val="none"/>
          <w:u w:val="single"/>
          <w:lang w:bidi="ar"/>
        </w:rPr>
        <w:t xml:space="preserve">                    </w:t>
      </w:r>
    </w:p>
    <w:p w14:paraId="3250D65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1.2工程劳务单价应包括但不限于以下内容：</w:t>
      </w:r>
    </w:p>
    <w:p w14:paraId="51271765">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施工期间与工程施工有关的所有零星用工，如所有材料物资到场后的装卸码放(人力无法装卸搬运的材料由发包人提供机械设备条件)、搬运及验收用工、二次倒运用工、垃圾清运到场内指定地点、试验用工、安全文明施工用工、成品保护用工等，均视为包含在所报单价内，现场不再签收任何零星用工。</w:t>
      </w:r>
    </w:p>
    <w:p w14:paraId="741338B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1.2.2本合同综合单价包括但不限于为实施和完成相关工程所需的施工准备费（队伍调迁、施工准备、房屋租赁）、劳务费（人工费）、材料费（本合同特别约定由甲方负责承担成本的材料除外）、运输费、机械设备费（含机械设备进出场）、装卸费、生活费、管理费、措施（项目）费、安全费、文明施工费、规费、保险、水电气、安装、缺陷修复、环保、临时工程的建设与拆除、税金和利润等，以及本合同明示或暗示的所有责任、义务和一般风险等。未列子目视为包含在相关单价以内。</w:t>
      </w:r>
    </w:p>
    <w:p w14:paraId="496A3FD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1.2.3各种手持工具、机具、测量工具。</w:t>
      </w:r>
    </w:p>
    <w:p w14:paraId="67CC41D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1.2.4施工所需的临时用电线路的日常维修等费用。</w:t>
      </w:r>
    </w:p>
    <w:p w14:paraId="3CEFAFF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1.2.5合同单价中己充分考虑并包含本工程实际情况所增加的费用，包括但不限于二次场地倒运、施工现场与室内施工垃圾清理费、冬雨季施工措施及降效费、临时停水停电误工费、配合业主和发包人工作所作的工序调整等。</w:t>
      </w:r>
    </w:p>
    <w:p w14:paraId="62FBBC3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1.2.6临时配电箱、电线路，安装维护中小型机具、辅材、周转料具及其他费用均己包含在相应的单价内，施工过程中此费用不再调整。</w:t>
      </w:r>
    </w:p>
    <w:p w14:paraId="489E5D2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1.2.7所有应由承包人交纳的行政事业性费用、人员进出场和相关手续费用及其他费用均由承包人承担。</w:t>
      </w:r>
    </w:p>
    <w:p w14:paraId="639E5CF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1.2.8在施工期间的所有预留洞的开孔、封堵、修补(门窗收口、管井吊洞、线槽修补等)费用。</w:t>
      </w:r>
    </w:p>
    <w:p w14:paraId="14400E2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1.2.9临时设施的维护费用。</w:t>
      </w:r>
    </w:p>
    <w:p w14:paraId="1B9A115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1.2.10高层建筑超高费。</w:t>
      </w:r>
    </w:p>
    <w:p w14:paraId="11B5BFC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1.2.11工期内个人生活用水、用电等生活相关费。</w:t>
      </w:r>
    </w:p>
    <w:p w14:paraId="1B1329B8">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1.3施工变更</w:t>
      </w:r>
    </w:p>
    <w:p w14:paraId="47B27E0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1.3.1施工中如需对原工作内容进行变更(建设单位和劳务发包人双方书面确认并经监理单位签认的变更可作为劳务价款结算的依据)，发包人应提前2天以书面形式向承包人发出变更通知，并提供变更的相应图纸和说明。承包人按照发包人发出的变更通知及有关要求，进行下列需要的变更：</w:t>
      </w:r>
    </w:p>
    <w:p w14:paraId="3BD14A3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(1)更改工程有关部分的标高、基线、位置和尺寸</w:t>
      </w:r>
    </w:p>
    <w:p w14:paraId="08DBA62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(2)增减合同中约定的工程量：</w:t>
      </w:r>
    </w:p>
    <w:p w14:paraId="6239C9F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(3)改变有关的施工时间和顺序：</w:t>
      </w:r>
    </w:p>
    <w:p w14:paraId="7EC383B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(4)其他有关工程变更需要的附加工作。</w:t>
      </w:r>
    </w:p>
    <w:p w14:paraId="61B85B9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(5)改变施工的用材或安装工艺及要求。</w:t>
      </w:r>
    </w:p>
    <w:p w14:paraId="4A8407E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1.3.2由非承包人原因造成的变更导致合同价款的增加及造成的承包人损失，由发包人承担，延误的工期相应顺延；因变更减少工程量，合同价款应相应减少，工期相应调整。</w:t>
      </w:r>
    </w:p>
    <w:p w14:paraId="07D9C8F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1.3.3由承包人原因造成的变更费用和由此导致发包人的直接损失，由承包入承担，延误的工期不予顺延。</w:t>
      </w:r>
    </w:p>
    <w:p w14:paraId="76E19E51">
      <w:pPr>
        <w:pStyle w:val="16"/>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1.3.4在本合同签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7C50BAE5">
      <w:pPr>
        <w:pStyle w:val="16"/>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1）本合同单价有相同或相似、相近的项目，套用其单价结算；</w:t>
      </w:r>
    </w:p>
    <w:p w14:paraId="2DB7285F">
      <w:pPr>
        <w:pStyle w:val="16"/>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2）本合同单价没有的新增项目，由项目部与乙方代表商定做好单价分析资料，报公司审批确定后，作为双方变更结算的依据；</w:t>
      </w:r>
    </w:p>
    <w:p w14:paraId="49351D24">
      <w:pPr>
        <w:pStyle w:val="16"/>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3）与业主合同没有的新增变更项目，由甲方根据业主批复的新增项目变更单价做好单价分析资料，报公司审批确定后，乙方必须执行；</w:t>
      </w:r>
    </w:p>
    <w:p w14:paraId="21A2F154">
      <w:pPr>
        <w:pStyle w:val="16"/>
        <w:ind w:left="0" w:leftChars="0" w:firstLine="480" w:firstLineChars="200"/>
        <w:jc w:val="left"/>
        <w:rPr>
          <w:rFonts w:hint="eastAsia"/>
          <w:highlight w:val="none"/>
        </w:rPr>
      </w:pPr>
      <w:r>
        <w:rPr>
          <w:rFonts w:hint="eastAsia" w:hAnsi="宋体" w:cs="宋体"/>
          <w:kern w:val="0"/>
          <w:sz w:val="24"/>
          <w:szCs w:val="24"/>
          <w:highlight w:val="none"/>
          <w:lang w:val="en-US" w:eastAsia="zh-CN" w:bidi="ar"/>
        </w:rPr>
        <w:t>4）对无法实行计件的项目则以计时工资计算，计日工单价为100元/工日，乙方必须服从项目负责人的派遣单安排工作，完工后3天内签证确认。</w:t>
      </w:r>
    </w:p>
    <w:p w14:paraId="7B8BA928">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2、结算款支付方式：</w:t>
      </w:r>
    </w:p>
    <w:p w14:paraId="1CC42EE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2.1本工程无预付款，发包人按施工进度支付工程款。</w:t>
      </w:r>
    </w:p>
    <w:p w14:paraId="7551B38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2.2工程进度款支付：每月承包人书面上报上月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highlight w:val="none"/>
          <w:lang w:bidi="ar"/>
          <w14:textFill>
            <w14:solidFill>
              <w14:schemeClr w14:val="tx1"/>
            </w14:solidFill>
          </w14:textFill>
        </w:rPr>
        <w:t>日至本月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highlight w:val="none"/>
          <w:lang w:bidi="ar"/>
          <w14:textFill>
            <w14:solidFill>
              <w14:schemeClr w14:val="tx1"/>
            </w14:solidFill>
          </w14:textFill>
        </w:rPr>
        <w:t>日完成的工程量的</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70%</w:t>
      </w:r>
      <w:r>
        <w:rPr>
          <w:rFonts w:hint="eastAsia" w:ascii="宋体" w:hAnsi="宋体" w:eastAsia="宋体" w:cs="宋体"/>
          <w:color w:val="000000" w:themeColor="text1"/>
          <w:kern w:val="0"/>
          <w:sz w:val="24"/>
          <w:szCs w:val="24"/>
          <w:highlight w:val="none"/>
          <w:lang w:bidi="ar"/>
          <w14:textFill>
            <w14:solidFill>
              <w14:schemeClr w14:val="tx1"/>
            </w14:solidFill>
          </w14:textFill>
        </w:rPr>
        <w:t>付款申请，经发包方按照相关凭证和工程劳务报价及实际工程量计算后，上报公司批准后支付。</w:t>
      </w:r>
    </w:p>
    <w:p w14:paraId="55BF5DC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2.3承包人收到工程款后必须优先足额支付工人工资，并且在7天内提供工人工资发放记录。工资拨付按实名制发放到每个施工人员的个人账户内。承包人应提前做好施工人员工资卡账号等其他资料给发包方。由发包方统一拨付。</w:t>
      </w:r>
    </w:p>
    <w:p w14:paraId="4C08C38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2.4结算方式：本工程采用单面积固定单价包干方式，通过业主方和建设主管部门的正式竣工验收后，按照甲乙双方共同现场实测完成的合同工程量及审计核减工程量计算总价，结算数量不能超过甲方同业主结算数量。</w:t>
      </w:r>
    </w:p>
    <w:p w14:paraId="09AC317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2.5结算办法：结算价款=审定工程量(经发包方项目部审核)×固定包干单价。</w:t>
      </w:r>
    </w:p>
    <w:p w14:paraId="6F9903E9">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2.6承包人收到发包人报送的结算资料通知书后后4个日历天内向发包人递交完整的结算资料(包括发包人签认的工作派送单、追加工程量确认单等)并向发包人提供3%增值税专用发票，发包人在收到结算资料后2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bidi="ar"/>
          <w14:textFill>
            <w14:solidFill>
              <w14:schemeClr w14:val="tx1"/>
            </w14:solidFill>
          </w14:textFill>
        </w:rPr>
        <w:t>天内进行核实，给予确认或者提出修改意见；结算审核完毕后2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bidi="ar"/>
          <w14:textFill>
            <w14:solidFill>
              <w14:schemeClr w14:val="tx1"/>
            </w14:solidFill>
          </w14:textFill>
        </w:rPr>
        <w:t>日内，付至结算价款的97%，剩余3%做为质保金，待质保期满后退还。</w:t>
      </w:r>
    </w:p>
    <w:p w14:paraId="1F639C52">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sz w:val="24"/>
          <w:szCs w:val="24"/>
          <w:highlight w:val="none"/>
        </w:rPr>
      </w:pPr>
      <w:r>
        <w:rPr>
          <w:rFonts w:hint="eastAsia" w:ascii="宋体" w:hAnsi="宋体" w:eastAsia="宋体" w:cs="宋体"/>
          <w:b/>
          <w:kern w:val="0"/>
          <w:sz w:val="24"/>
          <w:szCs w:val="24"/>
          <w:highlight w:val="none"/>
          <w:lang w:bidi="ar"/>
        </w:rPr>
        <w:t>五、材料管理</w:t>
      </w:r>
    </w:p>
    <w:p w14:paraId="7C3CD02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乙方必须按照甲方的要求控制材料用量，所有超出甲方控制量以外的及由于乙方原因损失的材料用量，由甲方从乙方结算款中扣除。</w:t>
      </w:r>
      <w:r>
        <w:rPr>
          <w:rFonts w:hint="eastAsia" w:ascii="宋体" w:hAnsi="宋体" w:eastAsia="宋体"/>
          <w:kern w:val="0"/>
          <w:sz w:val="24"/>
          <w:szCs w:val="24"/>
          <w:highlight w:val="none"/>
          <w:lang w:bidi="ar"/>
        </w:rPr>
        <w:t xml:space="preserve">                  </w:t>
      </w:r>
    </w:p>
    <w:p w14:paraId="44501644">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六、发包人与承包从双方的职责和权利</w:t>
      </w:r>
    </w:p>
    <w:p w14:paraId="145E7C50">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1、发包人的职责与权利</w:t>
      </w:r>
    </w:p>
    <w:p w14:paraId="65DDB02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1.1负责组织图纸会审，制订施工方案，并进行技术交底和安全交底，统一安排技术档案资料的收集整理及交工验收。</w:t>
      </w:r>
    </w:p>
    <w:p w14:paraId="12F1FF7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1.2负责完成临时水电配至各楼层公共区域的指定部位，其余由承包人根据实际情况自行解决。</w:t>
      </w:r>
    </w:p>
    <w:p w14:paraId="7C4C941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1.3监督检查承包人实施的劳务作业，有权对承包人发出质量单，并限定整改日期及整改标准，并提出整改要求。如限期整改不到位的将处以500元／次罚款。</w:t>
      </w:r>
    </w:p>
    <w:p w14:paraId="11E077B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1.4按进度支付劳务费用，按时提供符合施工要求的材料。</w:t>
      </w:r>
    </w:p>
    <w:p w14:paraId="3BA5F339">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1.5组建与本工程相适应的项目管理班子，全面履行总(分)包合同，组织实施工管理的各项工作，对工程的工期和质量向业主负责。</w:t>
      </w:r>
    </w:p>
    <w:p w14:paraId="058D8848">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1.6负责编制施工组织设计，统一制定各项管理目标全生产、文明施工、计量检测的控制、监督、检查和验收。</w:t>
      </w:r>
    </w:p>
    <w:p w14:paraId="604BA7E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1.7统筹安排、协调解决施工用水、用电及施工场地。</w:t>
      </w:r>
    </w:p>
    <w:p w14:paraId="1C2DC77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1.8负责与建设单位、监理、设计及有关部门联系，协调现场工作关系。</w:t>
      </w:r>
    </w:p>
    <w:p w14:paraId="6675C9A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1.9发包人有权按照施工管理规章制度对承包人的违规行为进行处理及罚款入的相关罚款，承包人的相关罚款在2日内向发包人缴纳或根据罚款单累计在总劳务总价中扣除。</w:t>
      </w:r>
    </w:p>
    <w:p w14:paraId="6299B0A2">
      <w:pPr>
        <w:keepNext w:val="0"/>
        <w:keepLines w:val="0"/>
        <w:pageBreakBefore w:val="0"/>
        <w:widowControl/>
        <w:numPr>
          <w:ilvl w:val="0"/>
          <w:numId w:val="1"/>
        </w:numPr>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sz w:val="26"/>
          <w:szCs w:val="26"/>
          <w:highlight w:val="none"/>
        </w:rPr>
      </w:pPr>
      <w:r>
        <w:rPr>
          <w:rFonts w:hint="eastAsia" w:ascii="宋体" w:hAnsi="宋体" w:eastAsia="宋体" w:cs="宋体"/>
          <w:b/>
          <w:kern w:val="0"/>
          <w:sz w:val="24"/>
          <w:szCs w:val="24"/>
          <w:highlight w:val="none"/>
          <w:lang w:bidi="ar"/>
        </w:rPr>
        <w:t>承包人的责任与权利</w:t>
      </w:r>
    </w:p>
    <w:p w14:paraId="01C7D60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2.1承包人必须与每个劳务作业人员签订《劳动合同》劳务人员不得有犯罪前科，不得私招乱雇、使用零散工，不得共用或借用其他施工队伍。</w:t>
      </w:r>
    </w:p>
    <w:p w14:paraId="3463BD9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2.2按照发包人要求办理施工人员进场手续，证件押金由承包人承担。施工现场必须实行实名制管理，并做好工人出勤记录。必须配合发包人做好安全考试、安全教育和安全演练等其他工作。</w:t>
      </w:r>
    </w:p>
    <w:p w14:paraId="0A1B136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2.3施工现场未经发包人同意不得设集体食堂和集体宿舍。所有施工人员必须遵守法律、法规及现场各管理规章制度。严禁在施工现场酗酒、斗殴，违反者当事人双方当场开除。并处罚承包人1000元／次。严禁黄、赌、毒等违法行为，有违反者交由公安机关处理。</w:t>
      </w:r>
    </w:p>
    <w:p w14:paraId="1379855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2.4根据发包人要求，甲方所供材料乙方应提前5天编制常用材料使用计划或排版图，加工定制材料应提前提出。材料进场后负责卸车并搬运到指定地点码放整齐(费用包含在工程劳务报价内)。承包人领取材料后应妥善保管，合理使用。承包人丢失、损坏和浪费由发包人提供的材料或设备应照价赔偿，并处以1000元罚款。材料质量如有问题可以旧换新，桶装材料(例如玻璃胶、白乳胶、乳胶漆、界面剂等)按照库管员要求以旧换新，未按要求执行的按材料采购原价赔偿。工程之外使用的材料(如制作工作锯台等)需到库管处备案。</w:t>
      </w:r>
    </w:p>
    <w:p w14:paraId="037E075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2.5承包人根据施工组织设计总进度计划的要求，有阶段工期要求的提交阶段施工计划，或按发包人要求提交周施工计划，以及与完成上述阶段、时段施工计划相应的劳动力安排计划，经发包人批准后严格实施。若承包人施工班组根据施工进度要求按时完成节点，发包人可奖励1000元次。施工进度节点由承包人和发包人具体商量决定，由发包人实施监督。</w:t>
      </w:r>
    </w:p>
    <w:p w14:paraId="146F59E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2.6严格按照设计图纸、施工验收规范、有关技术要求及《施工组织设计》精心组织施工，确保工程质量达到约定的等级；科学安排作业计划，配备足够有经验的劳务人员、机具和辅料(必须达到国家相关质量标准)：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整改、返工、工期拖延、安全事故、现场脏乱造成的损失及各种罚款。</w:t>
      </w:r>
    </w:p>
    <w:p w14:paraId="0637A54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2.7承包人必须每月按时向劳务人员结清、发放劳动报酬，做好劳务费发放影像和文字记录，并按发包人要求在7日内上报。承包人收到劳务费后必须首先支付工人劳务报酬，及时处理与劳务人员因发放劳动报酬等产生的纠纷，否则由此发生的分配问题等一切责任均由承包人自行负责。</w:t>
      </w:r>
    </w:p>
    <w:p w14:paraId="70F24C2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2.8承包人的所有人员必须服从发包人管理、检查和指导，发包人在工程中对承包人提出的问题及相关要求，若承包人借故推辞不落实，发包人有权对承包人按施工管理规定进行处罚。每次500元。</w:t>
      </w:r>
    </w:p>
    <w:p w14:paraId="55EC4E5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2.9承包人在施工中因误解图纸或施工质量问题返工，所发生的费用全部由承包人承担。承包人不按照发包人的要求施工造成的损失由承包人承担。</w:t>
      </w:r>
    </w:p>
    <w:p w14:paraId="77425EE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2.10承包人要做好应对施工现场停水、停电、施工电梯故障或电梯提前拆除、工作检查等导致的临时停工，随时调整工作内容，避免出现窝工现象，提前做好材料准备和施工用水的储存等工作(注：施工单价己含意外的情况的费用，发生以上突发事件产生的费用发包人不予补贴，承包人自行承担)。</w:t>
      </w:r>
    </w:p>
    <w:p w14:paraId="2A6B7D8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2.11承包人应有明确的组织机构，管理人员和班组长固定。施工负责人未经发包人同意不准更换，必须在场亲自监督，负责本辖区的劳务管理，确保现场有施工人员作业。</w:t>
      </w:r>
    </w:p>
    <w:p w14:paraId="5592524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2.12按照业主方的合同工期要求和质量要求向发包人交付工程。</w:t>
      </w:r>
    </w:p>
    <w:p w14:paraId="13F4CFC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2.13按照发包人要求收集、整理、编报施工资料和结算资料，及时办理结算手续。</w:t>
      </w:r>
    </w:p>
    <w:p w14:paraId="49B46715">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七、工程质量</w:t>
      </w:r>
    </w:p>
    <w:p w14:paraId="38199BF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1、工程质量标准：按国家现行的标准执行。</w:t>
      </w:r>
    </w:p>
    <w:p w14:paraId="1322DF2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2、合同履约：合同履约率100%。</w:t>
      </w:r>
    </w:p>
    <w:p w14:paraId="565428D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3、质量管理：无质量事故；质量目标达到合同约定标准。</w:t>
      </w:r>
    </w:p>
    <w:p w14:paraId="2D52D11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4、安全管理：无安全、文明施工事故：现场管理达到“湖南省平安工地”标准!</w:t>
      </w:r>
    </w:p>
    <w:p w14:paraId="226051D2">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维修期限：本项目维修责任期为</w:t>
      </w:r>
      <w:r>
        <w:rPr>
          <w:rFonts w:hint="eastAsia" w:ascii="宋体" w:hAnsi="宋体" w:cs="宋体"/>
          <w:b/>
          <w:color w:val="0D0D0D" w:themeColor="text1" w:themeTint="F2"/>
          <w:kern w:val="0"/>
          <w:sz w:val="24"/>
          <w:szCs w:val="24"/>
          <w:highlight w:val="none"/>
          <w:lang w:val="en-US" w:eastAsia="zh-CN" w:bidi="ar"/>
          <w14:textFill>
            <w14:solidFill>
              <w14:schemeClr w14:val="tx1">
                <w14:lumMod w14:val="95000"/>
                <w14:lumOff w14:val="5000"/>
              </w14:schemeClr>
            </w14:solidFill>
          </w14:textFill>
        </w:rPr>
        <w:t>一</w:t>
      </w: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年，竣工验收</w:t>
      </w:r>
      <w:r>
        <w:rPr>
          <w:rFonts w:hint="eastAsia" w:ascii="宋体" w:hAnsi="宋体" w:cs="宋体"/>
          <w:b/>
          <w:color w:val="0D0D0D" w:themeColor="text1" w:themeTint="F2"/>
          <w:kern w:val="0"/>
          <w:sz w:val="24"/>
          <w:szCs w:val="24"/>
          <w:highlight w:val="none"/>
          <w:lang w:val="en-US" w:eastAsia="zh-CN" w:bidi="ar"/>
          <w14:textFill>
            <w14:solidFill>
              <w14:schemeClr w14:val="tx1">
                <w14:lumMod w14:val="95000"/>
                <w14:lumOff w14:val="5000"/>
              </w14:schemeClr>
            </w14:solidFill>
          </w14:textFill>
        </w:rPr>
        <w:t>一</w:t>
      </w: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年内本项目出现任何质量问题，乙方必须确保无条件及时修复。</w:t>
      </w:r>
    </w:p>
    <w:p w14:paraId="122CE5C7">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八、安全文明施工</w:t>
      </w:r>
    </w:p>
    <w:p w14:paraId="789DD65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承包人须当日清理施工垃圾并运到指定地点，做好成品保护及完工后的卫生清理(清理卫生标准：施工产生的垃圾做到活完场地清，地面无残渣无积土，材料集中分类码放整齐、毛坯地面洒水湿润但无积水，竣工达到墙面、地面、门窗和灯具无污染，不同材料交接口处干净清晰)。若无法完成上述工作，发包人可安排他人来做，发生的费用从进度款中扣除。</w:t>
      </w:r>
    </w:p>
    <w:p w14:paraId="62BA4B7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2、承包人必须按照相关要求为进入施工现场所有的施工人员提供符合防护要求的劳动保护用品，并确保按照国家标准和发包人的有关要求正确佩戴和使用。</w:t>
      </w:r>
    </w:p>
    <w:p w14:paraId="1199BC5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承包人必须执行安全文明施工，在施工中须严格遵守安全操作规程，因违反操作规程、消防条例和防火设计规范，导致发生安全或火灾事故，以及承包人在施工中出现的一切人身伤亡事故和对第三方造成的伤亡，全部责任由承包人承担，承包人应在第一时间将事故情况上报至发包人，发包人可配合承包人按流程申请保险赔付，相关损失按保险公司赔付的金额计算，发包人不承担任何责任。</w:t>
      </w:r>
    </w:p>
    <w:p w14:paraId="301372B5">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九、违约责任</w:t>
      </w:r>
    </w:p>
    <w:p w14:paraId="5E3246E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1、若承包人给发包人及公司造成严重名誉损失或经济损失，发包人有权开除承包人并追究承包人的责任，所造成的损失由承包人承担。</w:t>
      </w:r>
    </w:p>
    <w:p w14:paraId="5B1F2CF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若承包方无法满足和完成发包方的施工进度任务和管理要求时的，发包方有权指派其他队伍替换承包方队伍，从承包方扣除总造价10％给施工队伍，承包方因无法满足施工进度和管理需求而造成对承包方损失由承包方来赔偿。</w:t>
      </w:r>
    </w:p>
    <w:p w14:paraId="448D613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2、承包人因自身原因延期交工的，每延误一日，应向发包人支付违约金为5000元/天，最高不超过合同总金额的5％。</w:t>
      </w:r>
    </w:p>
    <w:p w14:paraId="4BA3B2A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承包人施工质量不符合本合同约定的质量标准，承包人无法完成的，发包人可以委派其他劳务单位完成，耽误的承包人工作时间不予顺延。发包人可以要求承包人返工，产生的费用由承包人承担。延误的承包人工作时间不予顺延。</w:t>
      </w:r>
    </w:p>
    <w:p w14:paraId="6CEF6EE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4、本项目承包人不得转包，不得借用或共用其他施工队伍，若出现此类行为，发包人有权收回承包人的承包权并追究承包人的责任；若部分项目需分包时，应事先征得发包人同意，履行相应手续后方可分包。</w:t>
      </w:r>
    </w:p>
    <w:p w14:paraId="4976DC85">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5、凡本工程质量、工期和现场安全管理等未达到本合同约定的标准，以及承包人在其他方面未履行本合同的约定，承包人应承担相应损失以及发包人对承包人的处罚。</w:t>
      </w:r>
    </w:p>
    <w:p w14:paraId="15358E1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6、对于虚报、假报成本材料和工程量等其它严重违规违法行为，发包人视为承包人将无条件自动放弃承包权，同时由此带来的所有损失由承包人承担。</w:t>
      </w:r>
    </w:p>
    <w:p w14:paraId="1BBFB098">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7、承包人不履行或不按约定履行合同的其它义务时，应向发包人支付违约金20000元整，最高不超过合同总额的5％。延误的劳务承包人工作时间不予顺延。</w:t>
      </w:r>
    </w:p>
    <w:p w14:paraId="62644880">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8、若一方违约后，另一方要求违约方继续履行合同时，违约方承担上述违约责任后仍应继续履行合同。</w:t>
      </w:r>
    </w:p>
    <w:p w14:paraId="541371DD">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八、其他</w:t>
      </w:r>
    </w:p>
    <w:p w14:paraId="779A14A4">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1、协议终止和解除</w:t>
      </w:r>
    </w:p>
    <w:p w14:paraId="588C509F">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1.1双方履行完协议全部义务，乙方向甲方交付合格劳务作业成果，劳务报酬支付完毕，并经建设单位、设计单位、监理单位及质监单位验收合格，履行完保修任务后协议即告终止。</w:t>
      </w:r>
    </w:p>
    <w:p w14:paraId="1492440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b/>
          <w:sz w:val="24"/>
          <w:szCs w:val="24"/>
          <w:highlight w:val="none"/>
        </w:rPr>
      </w:pPr>
      <w:r>
        <w:rPr>
          <w:rFonts w:hint="eastAsia" w:ascii="宋体" w:hAnsi="宋体" w:eastAsia="宋体" w:cs="宋体"/>
          <w:kern w:val="0"/>
          <w:sz w:val="24"/>
          <w:szCs w:val="24"/>
          <w:highlight w:val="none"/>
          <w:lang w:bidi="ar"/>
        </w:rPr>
        <w:t>1.2甲乙双方协商一致，可以解除本合同。</w:t>
      </w:r>
    </w:p>
    <w:p w14:paraId="5208932E">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1.3因不可抗力造成合同无法履行双方协商可以解除本合同。</w:t>
      </w:r>
    </w:p>
    <w:p w14:paraId="05C7E1C8">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1.4不论何种原因，如主合同终止时，本合同自行终止。</w:t>
      </w:r>
    </w:p>
    <w:p w14:paraId="205BC934">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1.5因乙方原因甲方接到建设单位通知，经甲方与建设单位协商，如建设单位坚持要求乙方撤离现场时，本合同终止。</w:t>
      </w:r>
    </w:p>
    <w:p w14:paraId="5B6C6487">
      <w:pPr>
        <w:keepNext w:val="0"/>
        <w:keepLines w:val="0"/>
        <w:pageBreakBefore w:val="0"/>
        <w:widowControl/>
        <w:kinsoku/>
        <w:wordWrap/>
        <w:overflowPunct/>
        <w:topLinePunct w:val="0"/>
        <w:autoSpaceDE/>
        <w:autoSpaceDN/>
        <w:bidi w:val="0"/>
        <w:snapToGrid/>
        <w:spacing w:beforeLines="0" w:afterLines="0" w:line="560" w:lineRule="exact"/>
        <w:ind w:firstLine="54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1.6乙方转包，本合同终止，由此产生的所有责任和损失由乙方承担，并按乙方已完工程款的50%结算。</w:t>
      </w:r>
    </w:p>
    <w:p w14:paraId="7EA371E3">
      <w:pPr>
        <w:keepNext w:val="0"/>
        <w:keepLines w:val="0"/>
        <w:pageBreakBefore w:val="0"/>
        <w:widowControl/>
        <w:kinsoku/>
        <w:wordWrap/>
        <w:overflowPunct/>
        <w:topLinePunct w:val="0"/>
        <w:autoSpaceDE/>
        <w:autoSpaceDN/>
        <w:bidi w:val="0"/>
        <w:adjustRightInd w:val="0"/>
        <w:snapToGrid/>
        <w:spacing w:beforeLines="0" w:afterLines="0" w:line="560" w:lineRule="exact"/>
        <w:ind w:firstLine="540" w:firstLineChars="225"/>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1.7乙方单方终止合同，结算按乙方已经完成工程量的80%计算，另赔偿承包协议总价10%的违约金。</w:t>
      </w:r>
    </w:p>
    <w:p w14:paraId="7AD5E001">
      <w:pPr>
        <w:keepNext w:val="0"/>
        <w:keepLines w:val="0"/>
        <w:pageBreakBefore w:val="0"/>
        <w:widowControl/>
        <w:kinsoku/>
        <w:wordWrap/>
        <w:overflowPunct/>
        <w:topLinePunct w:val="0"/>
        <w:autoSpaceDE/>
        <w:autoSpaceDN/>
        <w:bidi w:val="0"/>
        <w:snapToGrid/>
        <w:spacing w:beforeLines="0" w:afterLines="0" w:line="560" w:lineRule="exact"/>
        <w:ind w:firstLine="56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1.8本合同壹式叁份，甲方执贰份，乙方执壹份，具有同等法律效力，经双方签字、盖章之日起生效。</w:t>
      </w:r>
    </w:p>
    <w:p w14:paraId="2D4B1A50">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1.9其他未尽事宜，双方协商解决或签订补充协议。</w:t>
      </w:r>
    </w:p>
    <w:p w14:paraId="24E261DF">
      <w:pPr>
        <w:keepNext w:val="0"/>
        <w:keepLines w:val="0"/>
        <w:pageBreakBefore w:val="0"/>
        <w:widowControl/>
        <w:kinsoku/>
        <w:wordWrap/>
        <w:overflowPunct/>
        <w:topLinePunct w:val="0"/>
        <w:autoSpaceDE/>
        <w:autoSpaceDN/>
        <w:bidi w:val="0"/>
        <w:adjustRightInd w:val="0"/>
        <w:snapToGrid/>
        <w:spacing w:beforeLines="0" w:afterLines="0" w:line="560" w:lineRule="exact"/>
        <w:ind w:firstLine="540" w:firstLineChars="225"/>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2、合同执行中若发生纠纷、争执,双方本着实事求是、友好合作的原则协商解决。若协商无果,则任何一方有权依法向甲方总部所在地的仲裁机构、人民法院提起诉讼。</w:t>
      </w:r>
    </w:p>
    <w:tbl>
      <w:tblPr>
        <w:tblStyle w:val="17"/>
        <w:tblpPr w:leftFromText="180" w:rightFromText="180" w:vertAnchor="text" w:horzAnchor="page" w:tblpX="1504" w:tblpY="183"/>
        <w:tblOverlap w:val="never"/>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6"/>
        <w:gridCol w:w="6190"/>
      </w:tblGrid>
      <w:tr w14:paraId="57BC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6" w:type="dxa"/>
            <w:tcBorders>
              <w:top w:val="nil"/>
              <w:left w:val="nil"/>
              <w:bottom w:val="nil"/>
              <w:right w:val="nil"/>
              <w:tl2br w:val="nil"/>
              <w:tr2bl w:val="nil"/>
            </w:tcBorders>
            <w:noWrap w:val="0"/>
            <w:vAlign w:val="top"/>
          </w:tcPr>
          <w:p w14:paraId="42FB8CD4">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甲方（盖章）：</w:t>
            </w:r>
          </w:p>
        </w:tc>
        <w:tc>
          <w:tcPr>
            <w:tcW w:w="6190" w:type="dxa"/>
            <w:tcBorders>
              <w:top w:val="nil"/>
              <w:left w:val="nil"/>
              <w:bottom w:val="nil"/>
              <w:right w:val="nil"/>
              <w:tl2br w:val="nil"/>
              <w:tr2bl w:val="nil"/>
            </w:tcBorders>
            <w:noWrap w:val="0"/>
            <w:vAlign w:val="top"/>
          </w:tcPr>
          <w:p w14:paraId="32D557A8">
            <w:pPr>
              <w:widowControl/>
              <w:spacing w:beforeLines="0" w:afterLines="0" w:line="520" w:lineRule="exact"/>
              <w:ind w:firstLine="1680" w:firstLineChars="800"/>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乙方（签字并按手印）：</w:t>
            </w:r>
          </w:p>
        </w:tc>
      </w:tr>
      <w:tr w14:paraId="3030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096" w:type="dxa"/>
            <w:tcBorders>
              <w:top w:val="nil"/>
              <w:left w:val="nil"/>
              <w:bottom w:val="nil"/>
              <w:right w:val="nil"/>
              <w:tl2br w:val="nil"/>
              <w:tr2bl w:val="nil"/>
            </w:tcBorders>
            <w:noWrap w:val="0"/>
            <w:vAlign w:val="top"/>
          </w:tcPr>
          <w:p w14:paraId="02F09AA6">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委托代表人：</w:t>
            </w:r>
          </w:p>
        </w:tc>
        <w:tc>
          <w:tcPr>
            <w:tcW w:w="6190" w:type="dxa"/>
            <w:tcBorders>
              <w:top w:val="nil"/>
              <w:left w:val="nil"/>
              <w:bottom w:val="nil"/>
              <w:right w:val="nil"/>
              <w:tl2br w:val="nil"/>
              <w:tr2bl w:val="nil"/>
            </w:tcBorders>
            <w:noWrap w:val="0"/>
            <w:vAlign w:val="top"/>
          </w:tcPr>
          <w:p w14:paraId="1A12EEA8">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身份证号码：</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联系电话：</w:t>
            </w:r>
          </w:p>
        </w:tc>
      </w:tr>
      <w:tr w14:paraId="5A76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286" w:type="dxa"/>
            <w:gridSpan w:val="2"/>
            <w:tcBorders>
              <w:top w:val="nil"/>
              <w:left w:val="nil"/>
              <w:bottom w:val="nil"/>
              <w:right w:val="nil"/>
              <w:tl2br w:val="nil"/>
              <w:tr2bl w:val="nil"/>
            </w:tcBorders>
            <w:noWrap w:val="0"/>
            <w:vAlign w:val="top"/>
          </w:tcPr>
          <w:p w14:paraId="34A47D20">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合同签约时间：</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年</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月</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日</w:t>
            </w:r>
          </w:p>
        </w:tc>
      </w:tr>
    </w:tbl>
    <w:p w14:paraId="3BC258ED">
      <w:pPr>
        <w:widowControl/>
        <w:spacing w:beforeLines="0" w:afterLines="0" w:line="460" w:lineRule="exact"/>
        <w:ind w:firstLine="560"/>
        <w:jc w:val="left"/>
        <w:rPr>
          <w:rFonts w:hint="default"/>
          <w:sz w:val="32"/>
          <w:szCs w:val="24"/>
          <w:highlight w:val="none"/>
        </w:rPr>
        <w:sectPr>
          <w:pgSz w:w="11907" w:h="16840"/>
          <w:pgMar w:top="1701" w:right="1418" w:bottom="2041" w:left="1418"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p w14:paraId="7D72419C">
      <w:pPr>
        <w:spacing w:beforeLines="0" w:afterLines="0"/>
        <w:rPr>
          <w:rFonts w:hint="default"/>
          <w:sz w:val="32"/>
          <w:szCs w:val="24"/>
          <w:highlight w:val="none"/>
        </w:rPr>
      </w:pPr>
    </w:p>
    <w:p w14:paraId="11392CE2">
      <w:pPr>
        <w:pStyle w:val="4"/>
        <w:bidi w:val="0"/>
        <w:jc w:val="center"/>
        <w:rPr>
          <w:rFonts w:hint="default"/>
          <w:highlight w:val="none"/>
        </w:rPr>
      </w:pPr>
      <w:r>
        <w:rPr>
          <w:rFonts w:hint="eastAsia"/>
          <w:highlight w:val="none"/>
        </w:rPr>
        <w:t>保密协议</w:t>
      </w:r>
    </w:p>
    <w:p w14:paraId="17B559C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cs="宋体"/>
          <w:sz w:val="24"/>
          <w:szCs w:val="24"/>
          <w:highlight w:val="none"/>
        </w:rPr>
      </w:pPr>
      <w:r>
        <w:rPr>
          <w:rFonts w:hint="eastAsia" w:ascii="Calibri" w:hAnsi="Calibri" w:eastAsia="宋体" w:cs="宋体"/>
          <w:sz w:val="24"/>
          <w:szCs w:val="24"/>
          <w:highlight w:val="none"/>
        </w:rPr>
        <w:t>甲方：</w:t>
      </w:r>
    </w:p>
    <w:p w14:paraId="6CB71EF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乙方：</w:t>
      </w:r>
    </w:p>
    <w:p w14:paraId="099EBCD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鉴于甲、乙双方在</w:t>
      </w:r>
      <w:r>
        <w:rPr>
          <w:rFonts w:hint="eastAsia" w:ascii="宋体" w:hAnsi="宋体" w:eastAsia="宋体"/>
          <w:sz w:val="24"/>
          <w:szCs w:val="24"/>
          <w:highlight w:val="none"/>
          <w:u w:val="single"/>
        </w:rPr>
        <w:t xml:space="preserve">               </w:t>
      </w:r>
      <w:r>
        <w:rPr>
          <w:rFonts w:hint="eastAsia" w:ascii="Calibri" w:hAnsi="Calibri" w:eastAsia="宋体" w:cs="宋体"/>
          <w:sz w:val="24"/>
          <w:szCs w:val="24"/>
          <w:highlight w:val="none"/>
        </w:rPr>
        <w:t>互相披露保密资料，为了促进协议双方的洽谈、合同的签订及履行，明确协议双方的保密责任，甲乙双方经平等、友好协商，签订本协议，以共同信守。</w:t>
      </w:r>
    </w:p>
    <w:p w14:paraId="5834973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1. </w:t>
      </w:r>
      <w:r>
        <w:rPr>
          <w:rFonts w:hint="eastAsia" w:ascii="Calibri" w:hAnsi="Calibri" w:eastAsia="宋体" w:cs="宋体"/>
          <w:sz w:val="24"/>
          <w:szCs w:val="24"/>
          <w:highlight w:val="none"/>
        </w:rPr>
        <w:t>相关名词的解释</w:t>
      </w:r>
    </w:p>
    <w:p w14:paraId="2320098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1.1</w:t>
      </w:r>
      <w:r>
        <w:rPr>
          <w:rFonts w:hint="eastAsia" w:ascii="Calibri" w:hAnsi="Calibri" w:eastAsia="宋体" w:cs="宋体"/>
          <w:sz w:val="24"/>
          <w:szCs w:val="24"/>
          <w:highlight w:val="none"/>
        </w:rPr>
        <w:t>保密信息：指不为公众所知，披露方向获取方披露的所有信息、数据或技术，包括但不限于披露方的与研究、开发、生产、产品、服务、客户、市场有关的软件、程序、发明、工艺、设计、图纸、专有技术、工程、流程、方式、硬件配置信息、客户名单、合同、价格、成本、研究报告、预测和估计、报表、商业计划、商业秘密、商业模式、公司决议等任何的商业信息、财务信息、技术资料、生产资料以及会议资料和文件；保密信息既包括书面认定为保密或专有的，又包括口头给予，后经书面确认为保密或专有的。以口头形式披露的保密信息须在披露时表明其为“保密”信息，并在披露后</w:t>
      </w:r>
      <w:r>
        <w:rPr>
          <w:rFonts w:hint="default" w:ascii="Calibri" w:hAnsi="Calibri" w:eastAsia="宋体"/>
          <w:sz w:val="24"/>
          <w:szCs w:val="24"/>
          <w:highlight w:val="none"/>
        </w:rPr>
        <w:t>10</w:t>
      </w:r>
      <w:r>
        <w:rPr>
          <w:rFonts w:hint="eastAsia" w:ascii="Calibri" w:hAnsi="Calibri" w:eastAsia="宋体" w:cs="宋体"/>
          <w:sz w:val="24"/>
          <w:szCs w:val="24"/>
          <w:highlight w:val="none"/>
        </w:rPr>
        <w:t>天内以书面形式另行提供给接收方并作出适当的保密标记。</w:t>
      </w:r>
    </w:p>
    <w:p w14:paraId="1D3CD39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1.2</w:t>
      </w:r>
      <w:r>
        <w:rPr>
          <w:rFonts w:hint="eastAsia" w:ascii="Calibri" w:hAnsi="Calibri" w:eastAsia="宋体" w:cs="宋体"/>
          <w:sz w:val="24"/>
          <w:szCs w:val="24"/>
          <w:highlight w:val="none"/>
        </w:rPr>
        <w:t>保密期限：经协议双方协商，约定获取方在该期限内不得向第三方透露其所获取的对方保密信息，且不得将获取的保密信息用于协议双方约定目的以外的任何用途。</w:t>
      </w:r>
    </w:p>
    <w:p w14:paraId="4EBE88A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1.3</w:t>
      </w:r>
      <w:r>
        <w:rPr>
          <w:rFonts w:hint="eastAsia" w:ascii="Calibri" w:hAnsi="Calibri" w:eastAsia="宋体" w:cs="宋体"/>
          <w:sz w:val="24"/>
          <w:szCs w:val="24"/>
          <w:highlight w:val="none"/>
        </w:rPr>
        <w:t>披露方：指基于此协议披露保密信息的一方。</w:t>
      </w:r>
    </w:p>
    <w:p w14:paraId="72BB185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1.4</w:t>
      </w:r>
      <w:r>
        <w:rPr>
          <w:rFonts w:hint="eastAsia" w:ascii="Calibri" w:hAnsi="Calibri" w:eastAsia="宋体" w:cs="宋体"/>
          <w:sz w:val="24"/>
          <w:szCs w:val="24"/>
          <w:highlight w:val="none"/>
        </w:rPr>
        <w:t>获取方：指基于此协议获取保密信息的一方。</w:t>
      </w:r>
    </w:p>
    <w:p w14:paraId="6FCAB11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1.5</w:t>
      </w:r>
      <w:r>
        <w:rPr>
          <w:rFonts w:hint="eastAsia" w:ascii="Calibri" w:hAnsi="Calibri" w:eastAsia="宋体" w:cs="宋体"/>
          <w:sz w:val="24"/>
          <w:szCs w:val="24"/>
          <w:highlight w:val="none"/>
        </w:rPr>
        <w:t>本协议中甲方或乙方基于本协议既可能是披露方，也可能是获取方。</w:t>
      </w:r>
    </w:p>
    <w:p w14:paraId="09E93740">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2. </w:t>
      </w:r>
      <w:r>
        <w:rPr>
          <w:rFonts w:hint="eastAsia" w:ascii="Calibri" w:hAnsi="Calibri" w:eastAsia="宋体" w:cs="宋体"/>
          <w:sz w:val="24"/>
          <w:szCs w:val="24"/>
          <w:highlight w:val="none"/>
        </w:rPr>
        <w:t>保密期限</w:t>
      </w:r>
    </w:p>
    <w:p w14:paraId="60111E94">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协议双方约定本协议保密信息的保密期限为：</w:t>
      </w:r>
      <w:r>
        <w:rPr>
          <w:rFonts w:hint="eastAsia" w:ascii="Calibri" w:hAnsi="Calibri" w:eastAsia="宋体"/>
          <w:sz w:val="24"/>
          <w:szCs w:val="24"/>
          <w:highlight w:val="none"/>
          <w:u w:val="single"/>
        </w:rPr>
        <w:t>2024</w:t>
      </w:r>
      <w:r>
        <w:rPr>
          <w:rFonts w:hint="eastAsia" w:ascii="Calibri" w:hAnsi="Calibri" w:eastAsia="宋体" w:cs="宋体"/>
          <w:sz w:val="24"/>
          <w:szCs w:val="24"/>
          <w:highlight w:val="none"/>
        </w:rPr>
        <w:t>年</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月</w:t>
      </w:r>
      <w:r>
        <w:rPr>
          <w:rFonts w:hint="eastAsia" w:ascii="Calibri" w:hAnsi="Calibri" w:eastAsia="宋体"/>
          <w:sz w:val="24"/>
          <w:szCs w:val="24"/>
          <w:highlight w:val="none"/>
          <w:u w:val="single"/>
        </w:rPr>
        <w:t xml:space="preserve">    </w:t>
      </w:r>
      <w:r>
        <w:rPr>
          <w:rFonts w:hint="eastAsia" w:ascii="Calibri" w:hAnsi="Calibri" w:eastAsia="宋体" w:cs="宋体"/>
          <w:sz w:val="24"/>
          <w:szCs w:val="24"/>
          <w:highlight w:val="none"/>
        </w:rPr>
        <w:t>日起至</w:t>
      </w:r>
      <w:r>
        <w:rPr>
          <w:rFonts w:hint="eastAsia" w:ascii="Calibri" w:hAnsi="Calibri" w:eastAsia="宋体"/>
          <w:sz w:val="24"/>
          <w:szCs w:val="24"/>
          <w:highlight w:val="none"/>
          <w:u w:val="single"/>
        </w:rPr>
        <w:t>2035</w:t>
      </w:r>
      <w:r>
        <w:rPr>
          <w:rFonts w:hint="eastAsia" w:ascii="Calibri" w:hAnsi="Calibri" w:eastAsia="宋体" w:cs="宋体"/>
          <w:sz w:val="24"/>
          <w:szCs w:val="24"/>
          <w:highlight w:val="none"/>
        </w:rPr>
        <w:t>年</w:t>
      </w:r>
      <w:r>
        <w:rPr>
          <w:rFonts w:hint="default" w:ascii="Calibri" w:hAnsi="Calibri" w:eastAsia="宋体" w:cs="宋体"/>
          <w:sz w:val="24"/>
          <w:szCs w:val="24"/>
          <w:highlight w:val="none"/>
          <w:u w:val="single"/>
        </w:rPr>
        <w:t xml:space="preserve"> </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月</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日止共计</w:t>
      </w:r>
      <w:r>
        <w:rPr>
          <w:rFonts w:hint="default" w:ascii="Calibri" w:hAnsi="Calibri" w:eastAsia="宋体"/>
          <w:sz w:val="24"/>
          <w:szCs w:val="24"/>
          <w:highlight w:val="none"/>
        </w:rPr>
        <w:t xml:space="preserve"> 10 </w:t>
      </w:r>
      <w:r>
        <w:rPr>
          <w:rFonts w:hint="eastAsia" w:ascii="Calibri" w:hAnsi="Calibri" w:eastAsia="宋体" w:cs="宋体"/>
          <w:sz w:val="24"/>
          <w:szCs w:val="24"/>
          <w:highlight w:val="none"/>
        </w:rPr>
        <w:t>年。</w:t>
      </w:r>
    </w:p>
    <w:p w14:paraId="2B85F1D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3. </w:t>
      </w:r>
      <w:r>
        <w:rPr>
          <w:rFonts w:hint="eastAsia" w:ascii="Calibri" w:hAnsi="Calibri" w:eastAsia="宋体" w:cs="宋体"/>
          <w:sz w:val="24"/>
          <w:szCs w:val="24"/>
          <w:highlight w:val="none"/>
        </w:rPr>
        <w:t>保密信息的范围</w:t>
      </w:r>
    </w:p>
    <w:p w14:paraId="65DB088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3.1</w:t>
      </w:r>
      <w:r>
        <w:rPr>
          <w:rFonts w:hint="eastAsia" w:ascii="Calibri" w:hAnsi="Calibri" w:eastAsia="宋体" w:cs="宋体"/>
          <w:sz w:val="24"/>
          <w:szCs w:val="24"/>
          <w:highlight w:val="none"/>
        </w:rPr>
        <w:t>本协议中保密信息涉及到的范围是：协议双方在洽谈、签订、履行合同过程中相互披露的</w:t>
      </w:r>
      <w:r>
        <w:rPr>
          <w:rFonts w:hint="eastAsia" w:ascii="Calibri" w:hAnsi="Calibri" w:eastAsia="宋体"/>
          <w:sz w:val="24"/>
          <w:szCs w:val="24"/>
          <w:highlight w:val="none"/>
          <w:u w:val="single"/>
        </w:rPr>
        <w:t>所有</w:t>
      </w:r>
      <w:r>
        <w:rPr>
          <w:rFonts w:hint="eastAsia" w:ascii="Calibri" w:hAnsi="Calibri" w:eastAsia="宋体" w:cs="宋体"/>
          <w:sz w:val="24"/>
          <w:szCs w:val="24"/>
          <w:highlight w:val="none"/>
        </w:rPr>
        <w:t>资料及与合作项目相关的其他信息。</w:t>
      </w:r>
    </w:p>
    <w:p w14:paraId="0670169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w:t>
      </w:r>
      <w:r>
        <w:rPr>
          <w:rFonts w:hint="eastAsia" w:ascii="Calibri" w:hAnsi="Calibri" w:eastAsia="宋体" w:cs="宋体"/>
          <w:sz w:val="24"/>
          <w:szCs w:val="24"/>
          <w:highlight w:val="none"/>
        </w:rPr>
        <w:t>以下情况不属于保密信息的范围：</w:t>
      </w:r>
    </w:p>
    <w:p w14:paraId="1596103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3.2.1</w:t>
      </w:r>
      <w:r>
        <w:rPr>
          <w:rFonts w:hint="eastAsia" w:ascii="Calibri" w:hAnsi="Calibri" w:eastAsia="宋体" w:cs="宋体"/>
          <w:sz w:val="24"/>
          <w:szCs w:val="24"/>
          <w:highlight w:val="none"/>
        </w:rPr>
        <w:t>披露之前已被公众所周知的信息；</w:t>
      </w:r>
    </w:p>
    <w:p w14:paraId="3C03ECC9">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3.2.2</w:t>
      </w:r>
      <w:r>
        <w:rPr>
          <w:rFonts w:hint="eastAsia" w:ascii="Calibri" w:hAnsi="Calibri" w:eastAsia="宋体" w:cs="宋体"/>
          <w:sz w:val="24"/>
          <w:szCs w:val="24"/>
          <w:highlight w:val="none"/>
        </w:rPr>
        <w:t>经过披露方书面授权对外发布的信息；</w:t>
      </w:r>
    </w:p>
    <w:p w14:paraId="755E199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3.2.3</w:t>
      </w:r>
      <w:r>
        <w:rPr>
          <w:rFonts w:hint="eastAsia" w:ascii="Calibri" w:hAnsi="Calibri" w:eastAsia="宋体" w:cs="宋体"/>
          <w:sz w:val="24"/>
          <w:szCs w:val="24"/>
          <w:highlight w:val="none"/>
        </w:rPr>
        <w:t>获取方向没有保密义务的第三方披露并且该信息属已被第三方合法披露的信息；</w:t>
      </w:r>
    </w:p>
    <w:p w14:paraId="2CFF480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3.2.4</w:t>
      </w:r>
      <w:r>
        <w:rPr>
          <w:rFonts w:hint="eastAsia" w:ascii="Calibri" w:hAnsi="Calibri" w:eastAsia="宋体" w:cs="宋体"/>
          <w:sz w:val="24"/>
          <w:szCs w:val="24"/>
          <w:highlight w:val="none"/>
        </w:rPr>
        <w:t>在没有接触保密信息的情况下，获取方独立开发取得的信息。</w:t>
      </w:r>
    </w:p>
    <w:p w14:paraId="2709E19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4. </w:t>
      </w:r>
      <w:r>
        <w:rPr>
          <w:rFonts w:hint="eastAsia" w:ascii="Calibri" w:hAnsi="Calibri" w:eastAsia="宋体" w:cs="宋体"/>
          <w:sz w:val="24"/>
          <w:szCs w:val="24"/>
          <w:highlight w:val="none"/>
        </w:rPr>
        <w:t>协议双方的义务</w:t>
      </w:r>
    </w:p>
    <w:p w14:paraId="2451557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4.1</w:t>
      </w:r>
      <w:r>
        <w:rPr>
          <w:rFonts w:hint="eastAsia" w:ascii="Calibri" w:hAnsi="Calibri" w:eastAsia="宋体" w:cs="宋体"/>
          <w:sz w:val="24"/>
          <w:szCs w:val="24"/>
          <w:highlight w:val="none"/>
        </w:rPr>
        <w:t>在保密期限内，获取方应对披露方披露的及协议双方以任何形式所接触到的对方保密信息负有保密责任，协议双方的所有职工不论是否直接参与项目，均负有保密义务。</w:t>
      </w:r>
    </w:p>
    <w:p w14:paraId="79181F3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4.2</w:t>
      </w:r>
      <w:r>
        <w:rPr>
          <w:rFonts w:hint="eastAsia" w:ascii="Calibri" w:hAnsi="Calibri" w:eastAsia="宋体" w:cs="宋体"/>
          <w:sz w:val="24"/>
          <w:szCs w:val="24"/>
          <w:highlight w:val="none"/>
        </w:rPr>
        <w:t>协议双方应将保密信息的传播范围限制在本协议约定目的以内需要知晓的人员，且不得将获取的保密信息用于本协议约定目的以外的任何用途。</w:t>
      </w:r>
    </w:p>
    <w:p w14:paraId="32A9102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4.3</w:t>
      </w:r>
      <w:r>
        <w:rPr>
          <w:rFonts w:hint="eastAsia" w:ascii="Calibri" w:hAnsi="Calibri" w:eastAsia="宋体" w:cs="宋体"/>
          <w:sz w:val="24"/>
          <w:szCs w:val="24"/>
          <w:highlight w:val="none"/>
        </w:rPr>
        <w:t>获取方承诺未经披露方的书面授权，不得将保密信息以任何形式披露给保密信息传播范围外的第三方。</w:t>
      </w:r>
    </w:p>
    <w:p w14:paraId="5012FF7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4.4 </w:t>
      </w:r>
      <w:r>
        <w:rPr>
          <w:rFonts w:hint="eastAsia" w:ascii="宋体" w:hAnsi="宋体" w:eastAsia="宋体" w:cs="宋体"/>
          <w:sz w:val="24"/>
          <w:szCs w:val="24"/>
          <w:highlight w:val="none"/>
        </w:rPr>
        <w:t>协议双方承</w:t>
      </w:r>
      <w:r>
        <w:rPr>
          <w:rFonts w:hint="eastAsia" w:ascii="Calibri" w:hAnsi="Calibri" w:eastAsia="宋体" w:cs="宋体"/>
          <w:sz w:val="24"/>
          <w:szCs w:val="24"/>
          <w:highlight w:val="none"/>
        </w:rPr>
        <w:t>诺双方的投资方、关联公司的董事、管理者、职员、代理人、顾问以及其他相关人员也应当承担保密义务，如果一方的这些关联企业或人员泄露了对方的商业秘密，则该方愿意承担泄密的法律责任。</w:t>
      </w:r>
    </w:p>
    <w:p w14:paraId="4412479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4.5</w:t>
      </w:r>
      <w:r>
        <w:rPr>
          <w:rFonts w:hint="eastAsia" w:ascii="Calibri" w:hAnsi="Calibri" w:eastAsia="宋体" w:cs="宋体"/>
          <w:sz w:val="24"/>
          <w:szCs w:val="24"/>
          <w:highlight w:val="none"/>
        </w:rPr>
        <w:t>在协议双方完成或终止合作事项之日起</w:t>
      </w:r>
      <w:r>
        <w:rPr>
          <w:rFonts w:hint="default" w:ascii="Calibri" w:hAnsi="Calibri" w:eastAsia="宋体"/>
          <w:sz w:val="24"/>
          <w:szCs w:val="24"/>
          <w:highlight w:val="none"/>
        </w:rPr>
        <w:t>7</w:t>
      </w:r>
      <w:r>
        <w:rPr>
          <w:rFonts w:hint="eastAsia" w:ascii="Calibri" w:hAnsi="Calibri" w:eastAsia="宋体" w:cs="宋体"/>
          <w:sz w:val="24"/>
          <w:szCs w:val="24"/>
          <w:highlight w:val="none"/>
        </w:rPr>
        <w:t>日内，获取方应归还披露方所有保密信息资料；若该信息资料属于不能归还形式、或已经复制或转录到其他资料中，则应将其销毁或删除。同时获取方向披露方提交一份由获取方授权代表签字并加盖获取方企业公章的，表明披露方所披露给获取方的所有保密信息资料已经全部归还或销毁的书面证明文件。尽管前述规定，获取方有权为证明双方协商内容和过程的目的而保留副本。</w:t>
      </w:r>
    </w:p>
    <w:p w14:paraId="1BEDBDC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4.6</w:t>
      </w:r>
      <w:r>
        <w:rPr>
          <w:rFonts w:hint="eastAsia" w:ascii="Calibri" w:hAnsi="Calibri" w:eastAsia="宋体" w:cs="宋体"/>
          <w:sz w:val="24"/>
          <w:szCs w:val="24"/>
          <w:highlight w:val="none"/>
        </w:rPr>
        <w:t>如果任何法院、立法或行政机关要求获取方或其任何关联机构、代表、代理人、咨询人士或顾问披露任何保密信息，获取方或其相关关联机构、代理人、咨询人士或顾问可以向相关机关披露该等部分保密信息，并不对该等披露负责。在该等情形下，在适用的中国法律和要求进行该等披露的法院、立法或行政机关允许的范围内，获取方应立即将该等披露通知披露方，以使披露方采取保护措施或获得其他适当的救济。</w:t>
      </w:r>
    </w:p>
    <w:p w14:paraId="30290E6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5. </w:t>
      </w:r>
      <w:r>
        <w:rPr>
          <w:rFonts w:hint="eastAsia" w:ascii="Calibri" w:hAnsi="Calibri" w:eastAsia="宋体" w:cs="宋体"/>
          <w:sz w:val="24"/>
          <w:szCs w:val="24"/>
          <w:highlight w:val="none"/>
        </w:rPr>
        <w:t>复制与归还</w:t>
      </w:r>
    </w:p>
    <w:p w14:paraId="0DA0B71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5.1</w:t>
      </w:r>
      <w:r>
        <w:rPr>
          <w:rFonts w:hint="eastAsia" w:ascii="Calibri" w:hAnsi="Calibri" w:eastAsia="宋体" w:cs="宋体"/>
          <w:sz w:val="24"/>
          <w:szCs w:val="24"/>
          <w:highlight w:val="none"/>
        </w:rPr>
        <w:t>除正常工作外，披露方披露给获取方的保密信息不得复制。</w:t>
      </w:r>
    </w:p>
    <w:p w14:paraId="0EEA131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5.2</w:t>
      </w:r>
      <w:r>
        <w:rPr>
          <w:rFonts w:hint="eastAsia" w:ascii="Calibri" w:hAnsi="Calibri" w:eastAsia="宋体" w:cs="宋体"/>
          <w:sz w:val="24"/>
          <w:szCs w:val="24"/>
          <w:highlight w:val="none"/>
        </w:rPr>
        <w:t>特殊情况下，经披露方书面同意，获取方可以对披露方所披露的保密信息资料进行少量的复制。</w:t>
      </w:r>
    </w:p>
    <w:p w14:paraId="7020E1C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5.3</w:t>
      </w:r>
      <w:r>
        <w:rPr>
          <w:rFonts w:hint="eastAsia" w:ascii="Calibri" w:hAnsi="Calibri" w:eastAsia="宋体" w:cs="宋体"/>
          <w:sz w:val="24"/>
          <w:szCs w:val="24"/>
          <w:highlight w:val="none"/>
        </w:rPr>
        <w:t>如披露方提出要求，获取方应按照要求将复制的保密信息资料归还给披露方，或者在提供书面证明的情况下予以销毁。</w:t>
      </w:r>
    </w:p>
    <w:p w14:paraId="2FC2EFA7">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6. </w:t>
      </w:r>
      <w:r>
        <w:rPr>
          <w:rFonts w:hint="eastAsia" w:ascii="Calibri" w:hAnsi="Calibri" w:eastAsia="宋体" w:cs="宋体"/>
          <w:sz w:val="24"/>
          <w:szCs w:val="24"/>
          <w:highlight w:val="none"/>
        </w:rPr>
        <w:t>违约责任</w:t>
      </w:r>
    </w:p>
    <w:p w14:paraId="1A4B862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w:t>
      </w:r>
      <w:r>
        <w:rPr>
          <w:rFonts w:hint="eastAsia" w:ascii="Calibri" w:hAnsi="Calibri" w:eastAsia="宋体" w:cs="宋体"/>
          <w:sz w:val="24"/>
          <w:szCs w:val="24"/>
          <w:highlight w:val="none"/>
        </w:rPr>
        <w:t>出现以下情况时，获取方应承担违约责任，具体指获取方向披露方支付违约金人民币</w:t>
      </w:r>
      <w:r>
        <w:rPr>
          <w:rFonts w:hint="default" w:ascii="Calibri" w:hAnsi="Calibri" w:eastAsia="宋体" w:cs="宋体"/>
          <w:sz w:val="24"/>
          <w:szCs w:val="24"/>
          <w:highlight w:val="none"/>
          <w:u w:val="single"/>
        </w:rPr>
        <w:t>10</w:t>
      </w:r>
      <w:r>
        <w:rPr>
          <w:rFonts w:hint="eastAsia" w:ascii="Calibri" w:hAnsi="Calibri" w:eastAsia="宋体" w:cs="宋体"/>
          <w:sz w:val="24"/>
          <w:szCs w:val="24"/>
          <w:highlight w:val="none"/>
          <w:u w:val="single"/>
        </w:rPr>
        <w:t>万</w:t>
      </w:r>
      <w:r>
        <w:rPr>
          <w:rFonts w:hint="eastAsia" w:ascii="Calibri" w:hAnsi="Calibri" w:eastAsia="宋体" w:cs="宋体"/>
          <w:sz w:val="24"/>
          <w:szCs w:val="24"/>
          <w:highlight w:val="none"/>
        </w:rPr>
        <w:t>元。若实际损失超过违约金的，披露方有权继续追偿。</w:t>
      </w:r>
    </w:p>
    <w:p w14:paraId="68AB4D62">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6.1.1</w:t>
      </w:r>
      <w:r>
        <w:rPr>
          <w:rFonts w:hint="eastAsia" w:ascii="Calibri" w:hAnsi="Calibri" w:eastAsia="宋体" w:cs="宋体"/>
          <w:sz w:val="24"/>
          <w:szCs w:val="24"/>
          <w:highlight w:val="none"/>
        </w:rPr>
        <w:t>获取方及获取方的员工等未经披露方的书面同意擅自向第三方泄漏保密信息的；</w:t>
      </w:r>
    </w:p>
    <w:p w14:paraId="03A3A07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6.1.2</w:t>
      </w:r>
      <w:r>
        <w:rPr>
          <w:rFonts w:hint="eastAsia" w:ascii="Calibri" w:hAnsi="Calibri" w:eastAsia="宋体" w:cs="宋体"/>
          <w:sz w:val="24"/>
          <w:szCs w:val="24"/>
          <w:highlight w:val="none"/>
        </w:rPr>
        <w:t>获取方违反本协议第四条约定的；</w:t>
      </w:r>
    </w:p>
    <w:p w14:paraId="06F241AB">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6.1.3</w:t>
      </w:r>
      <w:r>
        <w:rPr>
          <w:rFonts w:hint="eastAsia" w:ascii="Calibri" w:hAnsi="Calibri" w:eastAsia="宋体" w:cs="宋体"/>
          <w:sz w:val="24"/>
          <w:szCs w:val="24"/>
          <w:highlight w:val="none"/>
        </w:rPr>
        <w:t>获取方的其他行为泄漏保密信息的。</w:t>
      </w:r>
    </w:p>
    <w:p w14:paraId="56B8E66F">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6.2</w:t>
      </w:r>
      <w:r>
        <w:rPr>
          <w:rFonts w:hint="eastAsia" w:ascii="Calibri" w:hAnsi="Calibri" w:eastAsia="宋体" w:cs="宋体"/>
          <w:sz w:val="24"/>
          <w:szCs w:val="24"/>
          <w:highlight w:val="none"/>
        </w:rPr>
        <w:t>出现上述情况时，获取方应立即停止其违约行为并采取措施避免披露方损失的扩大，同时，获取方应赔偿披露方因此所遭受的全部经济损失。</w:t>
      </w:r>
    </w:p>
    <w:p w14:paraId="3E17756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7. </w:t>
      </w:r>
      <w:r>
        <w:rPr>
          <w:rFonts w:hint="eastAsia" w:ascii="Calibri" w:hAnsi="Calibri" w:eastAsia="宋体" w:cs="宋体"/>
          <w:sz w:val="24"/>
          <w:szCs w:val="24"/>
          <w:highlight w:val="none"/>
        </w:rPr>
        <w:t>不许可</w:t>
      </w:r>
    </w:p>
    <w:p w14:paraId="209F6B1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本协议不以明示或暗示的方式授予关于商标、发明、版权或专利等的任何权利或许可，保密信息的所有权利、所有权和权益归披露方所有。</w:t>
      </w:r>
    </w:p>
    <w:p w14:paraId="727B097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8. </w:t>
      </w:r>
      <w:r>
        <w:rPr>
          <w:rFonts w:hint="eastAsia" w:ascii="Calibri" w:hAnsi="Calibri" w:eastAsia="宋体" w:cs="宋体"/>
          <w:sz w:val="24"/>
          <w:szCs w:val="24"/>
          <w:highlight w:val="none"/>
        </w:rPr>
        <w:t>无保证</w:t>
      </w:r>
    </w:p>
    <w:p w14:paraId="677CBBF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所有保密信息均按“原状”提供。披露方不就保密信息的准确性、完整性或特性作出任何明示、默示或其他形式的保证。</w:t>
      </w:r>
    </w:p>
    <w:p w14:paraId="5AB68262">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9. </w:t>
      </w:r>
      <w:r>
        <w:rPr>
          <w:rFonts w:hint="eastAsia" w:ascii="Calibri" w:hAnsi="Calibri" w:eastAsia="宋体" w:cs="宋体"/>
          <w:sz w:val="24"/>
          <w:szCs w:val="24"/>
          <w:highlight w:val="none"/>
        </w:rPr>
        <w:t>适用法律及争议解决</w:t>
      </w:r>
    </w:p>
    <w:p w14:paraId="1D7EE76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9.1</w:t>
      </w:r>
      <w:r>
        <w:rPr>
          <w:rFonts w:hint="eastAsia" w:ascii="Calibri" w:hAnsi="Calibri" w:eastAsia="宋体" w:cs="宋体"/>
          <w:sz w:val="24"/>
          <w:szCs w:val="24"/>
          <w:highlight w:val="none"/>
        </w:rPr>
        <w:t>本协议适用于中华人民共和国法律法规。</w:t>
      </w:r>
    </w:p>
    <w:p w14:paraId="6AD9C6E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9.2</w:t>
      </w:r>
      <w:r>
        <w:rPr>
          <w:rFonts w:hint="eastAsia" w:ascii="Calibri" w:hAnsi="Calibri" w:eastAsia="宋体" w:cs="宋体"/>
          <w:sz w:val="24"/>
          <w:szCs w:val="24"/>
          <w:highlight w:val="none"/>
        </w:rPr>
        <w:t>凡因本协议产生的或与本协议相关的争议，双方应先通过友好协商解决；协商不成的，由甲方所在地人民法院管辖诉讼解决。</w:t>
      </w:r>
    </w:p>
    <w:p w14:paraId="3BF3ACC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10. </w:t>
      </w:r>
      <w:r>
        <w:rPr>
          <w:rFonts w:hint="eastAsia" w:ascii="Calibri" w:hAnsi="Calibri" w:eastAsia="宋体" w:cs="宋体"/>
          <w:sz w:val="24"/>
          <w:szCs w:val="24"/>
          <w:highlight w:val="none"/>
        </w:rPr>
        <w:t>其他</w:t>
      </w:r>
    </w:p>
    <w:p w14:paraId="0BE7918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10.1</w:t>
      </w:r>
      <w:r>
        <w:rPr>
          <w:rFonts w:hint="eastAsia" w:ascii="Calibri" w:hAnsi="Calibri" w:eastAsia="宋体" w:cs="宋体"/>
          <w:sz w:val="24"/>
          <w:szCs w:val="24"/>
          <w:highlight w:val="none"/>
        </w:rPr>
        <w:t>本协议项下的任何通知应发送至以下地址或一方书面指明的其他地址。通知在专人递送后视为送达，或若以预付邮资的挂号信发送，则在邮寄后三（</w:t>
      </w:r>
      <w:r>
        <w:rPr>
          <w:rFonts w:hint="default" w:ascii="Calibri" w:hAnsi="Calibri" w:eastAsia="宋体"/>
          <w:sz w:val="24"/>
          <w:szCs w:val="24"/>
          <w:highlight w:val="none"/>
        </w:rPr>
        <w:t>3</w:t>
      </w:r>
      <w:r>
        <w:rPr>
          <w:rFonts w:hint="eastAsia" w:ascii="Calibri" w:hAnsi="Calibri" w:eastAsia="宋体" w:cs="宋体"/>
          <w:sz w:val="24"/>
          <w:szCs w:val="24"/>
          <w:highlight w:val="none"/>
        </w:rPr>
        <w:t>）天视为送达。</w:t>
      </w:r>
    </w:p>
    <w:p w14:paraId="6043B160">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10.2</w:t>
      </w:r>
      <w:r>
        <w:rPr>
          <w:rFonts w:hint="eastAsia" w:ascii="Calibri" w:hAnsi="Calibri" w:eastAsia="宋体" w:cs="宋体"/>
          <w:sz w:val="24"/>
          <w:szCs w:val="24"/>
          <w:highlight w:val="none"/>
        </w:rPr>
        <w:t>本协议壹式肆份，甲方叁份，乙方壹份，具有同等的法律效力。</w:t>
      </w:r>
    </w:p>
    <w:p w14:paraId="1EC41D2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10.3</w:t>
      </w:r>
      <w:r>
        <w:rPr>
          <w:rFonts w:hint="eastAsia" w:ascii="Calibri" w:hAnsi="Calibri" w:eastAsia="宋体" w:cs="宋体"/>
          <w:sz w:val="24"/>
          <w:szCs w:val="24"/>
          <w:highlight w:val="none"/>
        </w:rPr>
        <w:t>本协议自双方签署之日起生效。</w:t>
      </w:r>
    </w:p>
    <w:p w14:paraId="69B9679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Calibri" w:hAnsi="Calibri" w:eastAsia="宋体"/>
          <w:sz w:val="24"/>
          <w:szCs w:val="24"/>
          <w:highlight w:val="none"/>
        </w:rPr>
      </w:pPr>
      <w:r>
        <w:rPr>
          <w:rFonts w:hint="default" w:ascii="Calibri" w:hAnsi="Calibri" w:eastAsia="宋体"/>
          <w:sz w:val="24"/>
          <w:szCs w:val="24"/>
          <w:highlight w:val="none"/>
        </w:rPr>
        <w:t>10.4</w:t>
      </w:r>
      <w:r>
        <w:rPr>
          <w:rFonts w:hint="eastAsia" w:ascii="Calibri" w:hAnsi="Calibri" w:eastAsia="宋体" w:cs="宋体"/>
          <w:sz w:val="24"/>
          <w:szCs w:val="24"/>
          <w:highlight w:val="none"/>
        </w:rPr>
        <w:t>未尽事宜双方另行协商解决。</w:t>
      </w:r>
    </w:p>
    <w:p w14:paraId="2ABEC33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甲方：</w:t>
      </w:r>
    </w:p>
    <w:p w14:paraId="58007F7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合同负责人：</w:t>
      </w:r>
    </w:p>
    <w:p w14:paraId="681F7659">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地址：衡阳市蒸湘区解放路1号财富大厦</w:t>
      </w:r>
    </w:p>
    <w:p w14:paraId="54FA21E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p>
    <w:p w14:paraId="07B7F3D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乙方：</w:t>
      </w:r>
    </w:p>
    <w:p w14:paraId="293D40B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授权代表：</w:t>
      </w:r>
    </w:p>
    <w:p w14:paraId="2A2D365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Microsoft YaHei UI" w:hAnsi="Calibri" w:eastAsia="Microsoft YaHei UI" w:cs="Microsoft YaHei UI"/>
          <w:sz w:val="24"/>
          <w:szCs w:val="24"/>
          <w:highlight w:val="none"/>
        </w:rPr>
      </w:pPr>
      <w:r>
        <w:rPr>
          <w:rFonts w:hint="eastAsia" w:ascii="Calibri" w:hAnsi="Calibri" w:eastAsia="宋体" w:cs="宋体"/>
          <w:sz w:val="24"/>
          <w:szCs w:val="24"/>
          <w:highlight w:val="none"/>
        </w:rPr>
        <w:t>地址：</w:t>
      </w:r>
    </w:p>
    <w:p w14:paraId="57C40EF7">
      <w:pPr>
        <w:widowControl/>
        <w:spacing w:beforeLines="0" w:afterLines="0"/>
        <w:jc w:val="center"/>
        <w:rPr>
          <w:rFonts w:hint="eastAsia" w:ascii="宋体" w:hAnsi="宋体" w:eastAsia="宋体"/>
          <w:sz w:val="24"/>
          <w:szCs w:val="24"/>
          <w:highlight w:val="none"/>
        </w:rPr>
      </w:pPr>
      <w:r>
        <w:rPr>
          <w:rFonts w:hint="eastAsia" w:ascii="宋体" w:hAnsi="宋体" w:eastAsia="宋体"/>
          <w:b/>
          <w:sz w:val="44"/>
          <w:szCs w:val="44"/>
          <w:highlight w:val="none"/>
        </w:rPr>
        <w:br w:type="page"/>
      </w:r>
      <w:r>
        <w:rPr>
          <w:rStyle w:val="40"/>
          <w:rFonts w:hint="eastAsia"/>
          <w:highlight w:val="none"/>
        </w:rPr>
        <w:t>施工安全、环保管理协议</w:t>
      </w:r>
    </w:p>
    <w:p w14:paraId="55881315">
      <w:pPr>
        <w:spacing w:beforeLines="0" w:afterLines="0" w:line="360" w:lineRule="auto"/>
        <w:jc w:val="center"/>
        <w:rPr>
          <w:rFonts w:hint="eastAsia" w:ascii="宋体" w:hAnsi="宋体" w:eastAsia="宋体"/>
          <w:sz w:val="24"/>
          <w:szCs w:val="24"/>
          <w:highlight w:val="none"/>
        </w:rPr>
      </w:pPr>
    </w:p>
    <w:p w14:paraId="3D49271F">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 xml:space="preserve">甲方： </w:t>
      </w:r>
      <w:r>
        <w:rPr>
          <w:rFonts w:hint="eastAsia" w:ascii="宋体" w:hAnsi="宋体" w:eastAsia="宋体"/>
          <w:sz w:val="24"/>
          <w:szCs w:val="24"/>
          <w:highlight w:val="none"/>
        </w:rPr>
        <w:t>（简称“甲方”）</w:t>
      </w:r>
    </w:p>
    <w:p w14:paraId="36C60AB6">
      <w:pPr>
        <w:spacing w:beforeLines="0" w:afterLines="0"/>
        <w:rPr>
          <w:rFonts w:hint="eastAsia" w:ascii="Calibri" w:hAnsi="Calibri" w:eastAsia="宋体"/>
          <w:sz w:val="24"/>
          <w:szCs w:val="24"/>
          <w:highlight w:val="none"/>
        </w:rPr>
      </w:pPr>
      <w:r>
        <w:rPr>
          <w:rFonts w:hint="eastAsia" w:ascii="宋体" w:hAnsi="宋体" w:eastAsia="宋体"/>
          <w:b/>
          <w:sz w:val="24"/>
          <w:szCs w:val="24"/>
          <w:highlight w:val="none"/>
        </w:rPr>
        <w:t>地址：</w:t>
      </w:r>
      <w:r>
        <w:rPr>
          <w:rFonts w:hint="eastAsia" w:ascii="Calibri" w:hAnsi="Calibri" w:eastAsia="宋体" w:cs="宋体"/>
          <w:b/>
          <w:sz w:val="24"/>
          <w:szCs w:val="24"/>
          <w:highlight w:val="none"/>
        </w:rPr>
        <w:t xml:space="preserve"> </w:t>
      </w:r>
    </w:p>
    <w:p w14:paraId="32EB4AE7">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联系人：</w:t>
      </w:r>
    </w:p>
    <w:p w14:paraId="498CB54D">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联系方式：</w:t>
      </w:r>
    </w:p>
    <w:p w14:paraId="1317E87B">
      <w:pPr>
        <w:spacing w:beforeLines="0" w:afterLines="0" w:line="360" w:lineRule="auto"/>
        <w:rPr>
          <w:rFonts w:hint="eastAsia" w:ascii="宋体" w:hAnsi="宋体" w:eastAsia="宋体"/>
          <w:b/>
          <w:sz w:val="24"/>
          <w:szCs w:val="24"/>
          <w:highlight w:val="none"/>
        </w:rPr>
      </w:pPr>
    </w:p>
    <w:p w14:paraId="0752AB12">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乙方：</w:t>
      </w:r>
      <w:r>
        <w:rPr>
          <w:rFonts w:hint="eastAsia" w:ascii="宋体" w:hAnsi="宋体" w:eastAsia="宋体"/>
          <w:sz w:val="24"/>
          <w:szCs w:val="24"/>
          <w:highlight w:val="none"/>
        </w:rPr>
        <w:t>（简称“乙方”）</w:t>
      </w:r>
    </w:p>
    <w:p w14:paraId="6EBD1479">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地址：</w:t>
      </w:r>
    </w:p>
    <w:p w14:paraId="325F1E61">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联系人：</w:t>
      </w:r>
    </w:p>
    <w:p w14:paraId="4F159997">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联系方式：</w:t>
      </w:r>
    </w:p>
    <w:p w14:paraId="717957E9">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贯彻执行“安全第一，预防为主，综合治理”方针，明确双方的安全、环保责任，切实把安全、环保工作落到实处，确保施工中人身，设备安全，根据国家有关法律，法规，在双方自愿，互利的原则上签订本协议。</w:t>
      </w:r>
    </w:p>
    <w:p w14:paraId="63E6C1C8">
      <w:pPr>
        <w:spacing w:beforeLines="0" w:afterLines="0" w:line="360" w:lineRule="auto"/>
        <w:ind w:firstLine="480" w:firstLineChars="200"/>
        <w:rPr>
          <w:rFonts w:hint="eastAsia" w:ascii="宋体" w:hAnsi="宋体" w:eastAsia="宋体"/>
          <w:sz w:val="24"/>
          <w:szCs w:val="24"/>
          <w:highlight w:val="none"/>
          <w:u w:val="single"/>
        </w:rPr>
      </w:pPr>
      <w:r>
        <w:rPr>
          <w:rFonts w:hint="eastAsia" w:ascii="宋体" w:hAnsi="宋体" w:eastAsia="宋体"/>
          <w:sz w:val="24"/>
          <w:szCs w:val="24"/>
          <w:highlight w:val="none"/>
        </w:rPr>
        <w:t>第一条项目名称：</w:t>
      </w:r>
      <w:r>
        <w:rPr>
          <w:rFonts w:hint="eastAsia" w:ascii="宋体" w:hAnsi="宋体" w:eastAsia="宋体"/>
          <w:sz w:val="24"/>
          <w:szCs w:val="24"/>
          <w:highlight w:val="none"/>
          <w:u w:val="single"/>
        </w:rPr>
        <w:t xml:space="preserve">             </w:t>
      </w:r>
    </w:p>
    <w:p w14:paraId="41DF2A4D">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第二条施工地点：</w:t>
      </w:r>
      <w:r>
        <w:rPr>
          <w:rFonts w:hint="eastAsia" w:ascii="宋体" w:hAnsi="宋体" w:eastAsia="宋体"/>
          <w:sz w:val="24"/>
          <w:szCs w:val="24"/>
          <w:highlight w:val="none"/>
          <w:u w:val="single"/>
        </w:rPr>
        <w:t xml:space="preserve">             </w:t>
      </w:r>
    </w:p>
    <w:p w14:paraId="6984EDC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第三条工期：</w:t>
      </w:r>
      <w:r>
        <w:rPr>
          <w:rFonts w:hint="eastAsia" w:ascii="宋体" w:hAnsi="宋体" w:eastAsia="宋体"/>
          <w:sz w:val="24"/>
          <w:szCs w:val="24"/>
          <w:highlight w:val="none"/>
          <w:u w:val="single"/>
        </w:rPr>
        <w:t xml:space="preserve">                 </w:t>
      </w:r>
    </w:p>
    <w:p w14:paraId="0887AAA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第四条甲方安全、环保权责</w:t>
      </w:r>
    </w:p>
    <w:p w14:paraId="246E8CE3">
      <w:pPr>
        <w:numPr>
          <w:ilvl w:val="0"/>
          <w:numId w:val="2"/>
        </w:num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施工前甲方应将甲方公司相关安全环保要求告知乙方。</w:t>
      </w:r>
    </w:p>
    <w:p w14:paraId="0F046F67">
      <w:pPr>
        <w:numPr>
          <w:ilvl w:val="0"/>
          <w:numId w:val="2"/>
        </w:numPr>
        <w:spacing w:beforeLines="0" w:afterLines="0" w:line="360" w:lineRule="auto"/>
        <w:ind w:left="0" w:firstLine="0"/>
        <w:jc w:val="left"/>
        <w:rPr>
          <w:rFonts w:hint="eastAsia" w:ascii="宋体" w:hAnsi="宋体" w:eastAsia="宋体"/>
          <w:sz w:val="24"/>
          <w:szCs w:val="24"/>
          <w:highlight w:val="none"/>
        </w:rPr>
      </w:pPr>
      <w:r>
        <w:rPr>
          <w:rFonts w:hint="eastAsia" w:ascii="宋体" w:hAnsi="宋体" w:eastAsia="宋体"/>
          <w:sz w:val="24"/>
          <w:szCs w:val="24"/>
          <w:highlight w:val="none"/>
        </w:rPr>
        <w:t>甲方负责审查乙方单位的企业资质和安全资质，发现不具备相应安全资质的，督促乙方单位及时完善。</w:t>
      </w:r>
    </w:p>
    <w:p w14:paraId="63FB40C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3、甲方有协助乙方做好安全、环保生产，防火管理以及检查、督促的义务，甲方有权督查乙方遵守、执行安全、环保方面相关事宜，对乙方不符合安全、环保文明施工的行为进行制止、纠正，直至清退出场。</w:t>
      </w:r>
    </w:p>
    <w:p w14:paraId="14ADBA2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4、甲方有权对乙方施工现场进行安全检查监督，对现场违章人员及存在的事故隐患进行督促整改，并对乙方进行处罚。</w:t>
      </w:r>
    </w:p>
    <w:p w14:paraId="6AEF78C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5、乙方在施工中如发生事故，甲方有权督促乙方立即报告当地政府相关部门，要求派人保护现场，并有权要求乙方提供事故调查书面结论及处理意见。</w:t>
      </w:r>
    </w:p>
    <w:p w14:paraId="289BA11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6、发生以下情况停工整顿，因停工造成的违约责任由乙方全部承担：</w:t>
      </w:r>
    </w:p>
    <w:p w14:paraId="73D64687">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1）发生人身伤亡事故；</w:t>
      </w:r>
    </w:p>
    <w:p w14:paraId="7909144E">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2）发生施工机械、生产主设备严重损坏事故；</w:t>
      </w:r>
    </w:p>
    <w:p w14:paraId="7F55C34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3）施工现场发生火灾事故；</w:t>
      </w:r>
    </w:p>
    <w:p w14:paraId="546098E4">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4）发生违章作业、冒险作业不听劝告的；</w:t>
      </w:r>
    </w:p>
    <w:p w14:paraId="36F26E0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5）施工现场脏、乱、差，不符合安全和文明施工要求的。</w:t>
      </w:r>
    </w:p>
    <w:p w14:paraId="66BA3E0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第四条乙方安全、环保权责</w:t>
      </w:r>
    </w:p>
    <w:p w14:paraId="5D568F6C">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乙方作为工程项目的承包单位，对工程施工过程中发生的人身伤害、设备损坏事故承担全部安全责任，对施工过程中发生污染事故承担全部环保责任。乙方应切实履行以下安全、环保责任：</w:t>
      </w:r>
    </w:p>
    <w:p w14:paraId="5932F3C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1、乙方所提供的承包工程要求的相关资质证明材料应真实、合法、有效。</w:t>
      </w:r>
    </w:p>
    <w:p w14:paraId="7667900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2、乙方派驻甲方现场施工的负责人，代表乙方全权负责现场施工安全。</w:t>
      </w:r>
    </w:p>
    <w:p w14:paraId="326531B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3、乙方必须贯彻执行国家有关安全生产的法律、法规，必须制定相应的安全管理制度及各岗位安全操作规程，严格执行有关电力生产规程和甲方关于工作票制度及其他安全生产规定，制度。</w:t>
      </w:r>
    </w:p>
    <w:p w14:paraId="7CE9498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4、现场施工应严格遵守国家和地方关于劳动安全、劳务用工法律法规及规章制度，保证用工的合法性。乙方必须按国家有关规定，给施工人员配备合格的劳动防护用品、安全用具。</w:t>
      </w:r>
    </w:p>
    <w:p w14:paraId="1BF5723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5、施工期间乙方应配备安全管理人员负责本单位的施工安全，负责辖区内日常安全、环保监管工作。</w:t>
      </w:r>
    </w:p>
    <w:p w14:paraId="6B28AC9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6、乙方一切施工活动，必须编制安全施工措施，报甲方备案。乙方施工前应对全体施工人员进行全面的安全技术交底，并在整个施工过程中正确、完整地执行。</w:t>
      </w:r>
    </w:p>
    <w:p w14:paraId="79DF812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7、乙方用于工程项目的施工机械、工位器具及安全防护用具的安全技能与质量必须符合施工安全要求，乙方对因使用工位器具不当所造成的人员伤害及设备损坏全权负责。</w:t>
      </w:r>
    </w:p>
    <w:p w14:paraId="0676808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8、开工前，乙方应组织全体施工人员进行安全、环保培训教育。</w:t>
      </w:r>
    </w:p>
    <w:p w14:paraId="470029F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9、特种作业人员必须持有政府部门核发有效上岗证。</w:t>
      </w:r>
    </w:p>
    <w:p w14:paraId="657A18D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10、乙方应在施工范围设置临时围栏或警示标志。禁止无关人员进入施工现场。未经甲方同意，乙方不得擅自使用与施工无关的甲方设备、设施，不得擅自拆除、变更甲方防护设施及标识。</w:t>
      </w:r>
    </w:p>
    <w:p w14:paraId="35814C8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11、乙方施工过程中需使用电、水源，应事先与甲方取得联系，不得私拉乱接。中断作业或遇故障应立即切断有关开关。</w:t>
      </w:r>
    </w:p>
    <w:p w14:paraId="60FFAB0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12、乙方施工过程中应做到工完料尽、场地清，确保安全文明施工。</w:t>
      </w:r>
    </w:p>
    <w:p w14:paraId="560117C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13、乙方必须接受甲方的监督、检查，对甲方提出的安全、环保整改意见必须及时整改。</w:t>
      </w:r>
    </w:p>
    <w:p w14:paraId="3D21FD1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14、乙方在施工过程中产生的生活垃圾、施工建筑垃圾等必须按照甲方所在地环保局的相关要求进行处置，不得随意丢弃。</w:t>
      </w:r>
    </w:p>
    <w:p w14:paraId="0A0E609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15、乙方在施工过程中如有高噪声的作业，必须报当地公安局备案，并告知周围居民。</w:t>
      </w:r>
    </w:p>
    <w:p w14:paraId="5784ED5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16、乙方在施工过程中产生的污水，应进行收集，处置后再排入污水管网，不得排入雨水管网。</w:t>
      </w:r>
    </w:p>
    <w:p w14:paraId="1CA6B48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17、乙方施工过程中发生环境污染事故，应立即报告甲方，并立即采取措施使污染程度降到最低。</w:t>
      </w:r>
    </w:p>
    <w:p w14:paraId="04F0919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18、乙方施工过程中发生人身伤亡，电网和设备事故或危及生产运行的不安全情况，应立即报告甲方，并保护好事故现场积极配合调查。</w:t>
      </w:r>
    </w:p>
    <w:p w14:paraId="5BB1992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19、乙方在施工过程中发生事故造成的一切损失全部由乙方自行承担。</w:t>
      </w:r>
    </w:p>
    <w:p w14:paraId="54E217EC">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乙方应执行国务院《生产安全事故报告和调查处理条例》。对人员在施工中发生的人身伤亡事故，必须立即向事故所在地的政府安全监管部门、公安部门等相关部门报告，按规定组织调查处理，由乙方统计上报，并派人保护好事故现场。乙方应将事故调查组、事故调查报告及乙方事故处理意见提交甲方备案。</w:t>
      </w:r>
    </w:p>
    <w:p w14:paraId="52F691D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第五条甲乙双方联系方式及响应时间：甲乙双方应以工作联系单、传真等书面形式送达对方。双方在接到对方的书面联系时，应于4小时内予以响应。</w:t>
      </w:r>
    </w:p>
    <w:p w14:paraId="5271F4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第六条甲乙双方约定的其他事项：</w:t>
      </w:r>
    </w:p>
    <w:p w14:paraId="60C4B55C">
      <w:pPr>
        <w:spacing w:beforeLines="0" w:afterLines="0" w:line="360" w:lineRule="auto"/>
        <w:rPr>
          <w:rFonts w:hint="eastAsia" w:ascii="宋体" w:hAnsi="宋体" w:eastAsia="宋体"/>
          <w:sz w:val="24"/>
          <w:szCs w:val="24"/>
          <w:highlight w:val="none"/>
        </w:rPr>
      </w:pPr>
    </w:p>
    <w:p w14:paraId="3A5A682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第七条本协议执行过程中，如发生争议，由双方协商，调解解决；若经协商，调解不能解决争议的，由甲方所在地人民法院管辖。</w:t>
      </w:r>
    </w:p>
    <w:p w14:paraId="3876F68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八条甲、乙双方在本合同的所载地址即为本合同下任何书面通知的送达地址，若因受送达方拒收或因联络地址错误无法送达的，均按照付邮日（以邮戳为准）视作通知方已依本合同给予书面通知，若任何一方联络地址变更的，应及时书面通知对方，否则因此产生的一切不利后果自行承担。</w:t>
      </w:r>
    </w:p>
    <w:p w14:paraId="413BA0A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第八条甲乙双方必须严格执行本协议，本协议的法律效力独立于主合同。</w:t>
      </w:r>
    </w:p>
    <w:p w14:paraId="320A773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第九条本协议一式肆份，甲方执叁份，乙方执壹份，本合同自双方签署之日起生效，人、机、料全部退出施工地点止。</w:t>
      </w:r>
    </w:p>
    <w:p w14:paraId="27040F25">
      <w:pPr>
        <w:spacing w:beforeLines="0" w:afterLines="0" w:line="360" w:lineRule="auto"/>
        <w:rPr>
          <w:rFonts w:hint="eastAsia" w:ascii="宋体" w:hAnsi="宋体" w:eastAsia="宋体"/>
          <w:sz w:val="24"/>
          <w:szCs w:val="24"/>
          <w:highlight w:val="none"/>
        </w:rPr>
      </w:pPr>
    </w:p>
    <w:p w14:paraId="225B1987">
      <w:pPr>
        <w:spacing w:beforeLines="0" w:afterLines="0" w:line="360" w:lineRule="auto"/>
        <w:rPr>
          <w:rFonts w:hint="eastAsia" w:ascii="宋体" w:hAnsi="宋体" w:eastAsia="宋体"/>
          <w:sz w:val="24"/>
          <w:szCs w:val="24"/>
          <w:highlight w:val="none"/>
        </w:rPr>
      </w:pPr>
    </w:p>
    <w:p w14:paraId="1C33489C">
      <w:pPr>
        <w:spacing w:beforeLines="0" w:afterLines="0" w:line="360" w:lineRule="auto"/>
        <w:rPr>
          <w:rFonts w:hint="eastAsia" w:ascii="宋体" w:hAnsi="宋体" w:eastAsia="宋体"/>
          <w:sz w:val="24"/>
          <w:szCs w:val="24"/>
          <w:highlight w:val="none"/>
        </w:rPr>
      </w:pPr>
    </w:p>
    <w:p w14:paraId="23A89B9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甲方：（盖章）                        乙方：（盖章）</w:t>
      </w:r>
    </w:p>
    <w:p w14:paraId="78191308">
      <w:pPr>
        <w:spacing w:beforeLines="0" w:afterLines="0" w:line="360" w:lineRule="auto"/>
        <w:ind w:firstLine="4560" w:firstLineChars="1900"/>
        <w:rPr>
          <w:rFonts w:hint="eastAsia" w:ascii="宋体" w:hAnsi="宋体" w:eastAsia="宋体"/>
          <w:sz w:val="24"/>
          <w:szCs w:val="24"/>
          <w:highlight w:val="none"/>
        </w:rPr>
      </w:pPr>
      <w:r>
        <w:rPr>
          <w:rFonts w:hint="eastAsia" w:ascii="宋体" w:hAnsi="宋体" w:eastAsia="宋体"/>
          <w:sz w:val="24"/>
          <w:szCs w:val="24"/>
          <w:highlight w:val="none"/>
        </w:rPr>
        <w:t>委托代理人：           委托代理人：</w:t>
      </w:r>
    </w:p>
    <w:p w14:paraId="2D6FAD5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联系电话：                            联系电话：</w:t>
      </w:r>
    </w:p>
    <w:p w14:paraId="64A2C83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br w:type="page"/>
      </w:r>
      <w:r>
        <w:rPr>
          <w:rFonts w:hint="eastAsia" w:ascii="宋体" w:hAnsi="宋体" w:eastAsia="宋体"/>
          <w:sz w:val="24"/>
          <w:szCs w:val="24"/>
          <w:highlight w:val="none"/>
        </w:rPr>
        <w:t>附则：</w:t>
      </w:r>
    </w:p>
    <w:p w14:paraId="136AF1C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一、有下列行为之一的处罚施工方10000元：</w:t>
      </w:r>
    </w:p>
    <w:p w14:paraId="20A7009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1、危险作业未经审批和现场未设监护人；</w:t>
      </w:r>
    </w:p>
    <w:p w14:paraId="621BC3D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2、任意拆除安全防火防爆、警示、显示装置；</w:t>
      </w:r>
    </w:p>
    <w:p w14:paraId="6FC04F5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3、无特种作业资格证独立从事特种作业；</w:t>
      </w:r>
    </w:p>
    <w:p w14:paraId="70D8890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4、高处作业任意往地面扔东西；</w:t>
      </w:r>
    </w:p>
    <w:p w14:paraId="20FE5A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5、在禁火区内抽烟或擅自动火；</w:t>
      </w:r>
    </w:p>
    <w:p w14:paraId="68F97D9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6、未经相关部门同意或未经审批私接临时线；</w:t>
      </w:r>
    </w:p>
    <w:p w14:paraId="1727880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7、废水、废气、废弃物等未按照规定处置，造成环境污染事件；</w:t>
      </w:r>
    </w:p>
    <w:p w14:paraId="2D757D0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8、废水、废气、废弃物等未按照规定处置，造成居民环保投诉，经相关部门查证后确实存在的。</w:t>
      </w:r>
    </w:p>
    <w:p w14:paraId="3875B29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二、有下列行为之一的处罚施工方8000元：</w:t>
      </w:r>
    </w:p>
    <w:p w14:paraId="4B6D9C8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1、高处作业（2米以上）无安全防护设施，未系安全带；</w:t>
      </w:r>
    </w:p>
    <w:p w14:paraId="695C247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2、损坏、挪用消防器材，使用后未及时上报更换；</w:t>
      </w:r>
    </w:p>
    <w:p w14:paraId="49D744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3、用汽油、松香水、稀料等易燃液体擦拭地面及其他工作；</w:t>
      </w:r>
    </w:p>
    <w:p w14:paraId="6DBCB0F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4、施工作业中有安全装置但弃而不用；</w:t>
      </w:r>
    </w:p>
    <w:p w14:paraId="087E6D3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5、电焊、乙炔气割时安全间距不足，混合作业；</w:t>
      </w:r>
    </w:p>
    <w:p w14:paraId="5DC5B0E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6、焊割作业气瓶横向使用或放置在危险地点；</w:t>
      </w:r>
    </w:p>
    <w:p w14:paraId="1809CA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7、临时电源线架设高度不足2.5米，拖拉过长；</w:t>
      </w:r>
    </w:p>
    <w:p w14:paraId="397A85F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8、电源线无插头内线直接插在插座上使用；</w:t>
      </w:r>
    </w:p>
    <w:p w14:paraId="056DA59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9、高噪声施工作业未告知周围居民。</w:t>
      </w:r>
    </w:p>
    <w:p w14:paraId="4524621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10、化学品、废水直接倾倒至河道或雨水管网。</w:t>
      </w:r>
    </w:p>
    <w:p w14:paraId="1C9E102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三、有下列行为之一的处罚施工方5000元</w:t>
      </w:r>
    </w:p>
    <w:p w14:paraId="3C084A3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1、危险点（如起重、吊挂、上下交叉作业）未配戴安全帽；</w:t>
      </w:r>
    </w:p>
    <w:p w14:paraId="403303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2、穿硬底鞋登高作业；</w:t>
      </w:r>
    </w:p>
    <w:p w14:paraId="5601F8A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3、电气作业未穿匹配绝缘鞋；</w:t>
      </w:r>
    </w:p>
    <w:p w14:paraId="0404CAF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4、切割机切割材料时操作人员未戴护目镜；</w:t>
      </w:r>
    </w:p>
    <w:p w14:paraId="238957D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5、移动登高平台（2米以上）顶部未设置安全护栏；</w:t>
      </w:r>
    </w:p>
    <w:p w14:paraId="3758E5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6、乙炔气瓶未安装回火防止器进行气割作业；</w:t>
      </w:r>
    </w:p>
    <w:p w14:paraId="61CAD4A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7、乙炔、氧气等气瓶安全装置缺失或损坏仍在使用的；</w:t>
      </w:r>
    </w:p>
    <w:p w14:paraId="58F0B10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8、使用竹梯或轮架车、人在上面作业，下方无人监护（扶梯）；</w:t>
      </w:r>
    </w:p>
    <w:p w14:paraId="6AA6512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9、施工垃圾随意丢弃，如油漆桶；</w:t>
      </w:r>
    </w:p>
    <w:p w14:paraId="769D0B1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10、化学品、废水泄漏至地面造成污染的。</w:t>
      </w:r>
    </w:p>
    <w:p w14:paraId="7AA207A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四、厂内交通相关要求</w:t>
      </w:r>
    </w:p>
    <w:p w14:paraId="4A4A299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1驾驶车辆有下列情形之一，处罚2000元；</w:t>
      </w:r>
    </w:p>
    <w:p w14:paraId="48700D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1.1无证开车、酒后开车的。</w:t>
      </w:r>
    </w:p>
    <w:p w14:paraId="428EE43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1.2将机动车交给无驾驶证的人驾驶的</w:t>
      </w:r>
    </w:p>
    <w:p w14:paraId="74A1787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1.3挪用、转借机动车牌或驾驶证的</w:t>
      </w:r>
    </w:p>
    <w:p w14:paraId="2BF282F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1.4装运危险品撞击、拖拉、倾倒；混装的。</w:t>
      </w:r>
    </w:p>
    <w:p w14:paraId="72D83EC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1.5拒绝接受公司有关人员检查的</w:t>
      </w:r>
    </w:p>
    <w:p w14:paraId="5E4AA3F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2驾驶车辆有下列行为之一，处1600-2000元罚款；</w:t>
      </w:r>
    </w:p>
    <w:p w14:paraId="0F216E5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2.1涂改、伪造、冒领牌证、驾驶证的；</w:t>
      </w:r>
    </w:p>
    <w:p w14:paraId="29595CC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2.2不按规定超车、让车的；</w:t>
      </w:r>
    </w:p>
    <w:p w14:paraId="0A3A641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2.3不按规定停车或造成道路不畅通的。</w:t>
      </w:r>
    </w:p>
    <w:p w14:paraId="234A820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3驾驶车辆有下列行为之一，处1200-1600元罚款；</w:t>
      </w:r>
    </w:p>
    <w:p w14:paraId="3511B18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3.1未审验或审验不合格仍驾驶车辆的；</w:t>
      </w:r>
    </w:p>
    <w:p w14:paraId="2A391C5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3.2用人工直接供油驾驶车辆的。</w:t>
      </w:r>
    </w:p>
    <w:p w14:paraId="4C4664D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3.3驾驶叉车未配挂厂内牌照的。</w:t>
      </w:r>
    </w:p>
    <w:p w14:paraId="43B9EBD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4驾驶车辆有下列情况之一，处800-1200元罚款；</w:t>
      </w:r>
    </w:p>
    <w:p w14:paraId="007BF0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4.1逆向行驶车辆的；</w:t>
      </w:r>
    </w:p>
    <w:p w14:paraId="423CCB5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4.2未检验或检验不合格车辆的；</w:t>
      </w:r>
    </w:p>
    <w:p w14:paraId="1DC6C0A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4.3转向器、制动器、灯光不合安全要求的；</w:t>
      </w:r>
    </w:p>
    <w:p w14:paraId="64119E6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4.4饮酒后驾驶车辆的。</w:t>
      </w:r>
    </w:p>
    <w:p w14:paraId="04CC574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4.5叉车载人行驶的、叉齿站人行驶的。</w:t>
      </w:r>
    </w:p>
    <w:p w14:paraId="7FD6914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4.6叉车作牵引车使用的。</w:t>
      </w:r>
    </w:p>
    <w:p w14:paraId="41A7EFD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4.7叉车行驶中货叉离地面超过200-300mm，起升门架后未相应倾到的。</w:t>
      </w:r>
    </w:p>
    <w:p w14:paraId="219279A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4.8叉车行驶过程中，边行驶边升举叉齿的。</w:t>
      </w:r>
    </w:p>
    <w:p w14:paraId="76ABC64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4.9搬运影响视线的货物或易滑的货物时，未倒行开车低速行驶的。</w:t>
      </w:r>
    </w:p>
    <w:p w14:paraId="23BADE4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5驾驶车辆有下列情形之一，处600-800元罚款；</w:t>
      </w:r>
    </w:p>
    <w:p w14:paraId="70E12B2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5.1后视镜、刮水器不合安全要求的；</w:t>
      </w:r>
    </w:p>
    <w:p w14:paraId="330AB71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5.2不按规定方向行驶的；</w:t>
      </w:r>
    </w:p>
    <w:p w14:paraId="40BDBA3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5.3不按规定停车的；</w:t>
      </w:r>
    </w:p>
    <w:p w14:paraId="20810F7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5.4在禁止行驶的时间，道路上行驶的。</w:t>
      </w:r>
    </w:p>
    <w:p w14:paraId="6DE21EB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5.5叉车未按照厂内限速指示牌规定超速行驶的。</w:t>
      </w:r>
    </w:p>
    <w:p w14:paraId="240E7C3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6驾驶车辆有下列情形之一，处400-600元罚款；</w:t>
      </w:r>
    </w:p>
    <w:p w14:paraId="3683D49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6.1不按规定开车、倒车或掉头的；</w:t>
      </w:r>
    </w:p>
    <w:p w14:paraId="297A76D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6.2货车人货混装行驶的；</w:t>
      </w:r>
    </w:p>
    <w:p w14:paraId="2599948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6.3噪声和有害气体超标的；</w:t>
      </w:r>
    </w:p>
    <w:p w14:paraId="4FC9FE5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6.4叉车超载、超长的；</w:t>
      </w:r>
    </w:p>
    <w:p w14:paraId="603A60C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6.5叉车停开时，未将叉齿落地，拉好手刹的。</w:t>
      </w:r>
    </w:p>
    <w:p w14:paraId="3704EA8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7驾驶车辆有下列情形之一，处200-400元罚款；</w:t>
      </w:r>
    </w:p>
    <w:p w14:paraId="7604C59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7.1违反交通信号、标志、标线指示的；</w:t>
      </w:r>
    </w:p>
    <w:p w14:paraId="3E84BCC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7.2违反车速或装载规定的；</w:t>
      </w:r>
    </w:p>
    <w:p w14:paraId="60D5464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7.3不按规定使用警报器或标志灯具的；</w:t>
      </w:r>
    </w:p>
    <w:p w14:paraId="5CBCDBF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7.4不按规定安装车辆号牌的；</w:t>
      </w:r>
    </w:p>
    <w:p w14:paraId="2F8EFC0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7.5未携带有效证件行驶的；</w:t>
      </w:r>
    </w:p>
    <w:p w14:paraId="25AE6C9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7.6驾驶和乘坐两轮摩托车不载头盔的；</w:t>
      </w:r>
    </w:p>
    <w:p w14:paraId="4535097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7.7两、三轮摩托车后座载不满12岁儿童的；</w:t>
      </w:r>
    </w:p>
    <w:p w14:paraId="01FA19A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7.8没关好车门、车厢的；</w:t>
      </w:r>
    </w:p>
    <w:p w14:paraId="1ED2A3A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7.9穿拖鞋驾驶机动车的；</w:t>
      </w:r>
    </w:p>
    <w:p w14:paraId="1ED2C9D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7.10吸烟、饮食或有妨碍安全行车行为的；</w:t>
      </w:r>
    </w:p>
    <w:p w14:paraId="2CBC5F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7.11不按规定使用喇叭或喇叭音量超标的；</w:t>
      </w:r>
    </w:p>
    <w:p w14:paraId="0CBDA3B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7.12不按规定临时停车的；</w:t>
      </w:r>
    </w:p>
    <w:p w14:paraId="088C5C53">
      <w:pPr>
        <w:spacing w:beforeLines="0" w:afterLines="0" w:line="360" w:lineRule="auto"/>
        <w:rPr>
          <w:rFonts w:hint="eastAsia" w:ascii="宋体" w:hAnsi="宋体" w:eastAsia="宋体"/>
          <w:sz w:val="28"/>
          <w:szCs w:val="24"/>
          <w:highlight w:val="none"/>
        </w:rPr>
      </w:pPr>
      <w:r>
        <w:rPr>
          <w:rFonts w:hint="eastAsia" w:ascii="宋体" w:hAnsi="宋体" w:eastAsia="宋体"/>
          <w:sz w:val="24"/>
          <w:szCs w:val="24"/>
          <w:highlight w:val="none"/>
        </w:rPr>
        <w:t>7.13制动器、转向器、喇叭、灯光、雨刷和后视镜失效的</w:t>
      </w:r>
      <w:r>
        <w:rPr>
          <w:rFonts w:hint="eastAsia" w:ascii="宋体" w:hAnsi="宋体" w:eastAsia="宋体"/>
          <w:sz w:val="28"/>
          <w:szCs w:val="24"/>
          <w:highlight w:val="none"/>
        </w:rPr>
        <w:t>；</w:t>
      </w:r>
    </w:p>
    <w:p w14:paraId="216D9E6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highlight w:val="none"/>
          <w:lang w:val="en-US" w:eastAsia="zh-CN" w:bidi="ar-SA"/>
        </w:rPr>
      </w:pPr>
    </w:p>
    <w:p w14:paraId="65BB380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highlight w:val="none"/>
          <w:lang w:val="en-US" w:eastAsia="zh-CN" w:bidi="ar-SA"/>
        </w:rPr>
      </w:pPr>
    </w:p>
    <w:p w14:paraId="741C5E5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highlight w:val="none"/>
          <w:lang w:val="en-US" w:eastAsia="zh-CN" w:bidi="ar-SA"/>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714D3AA6">
      <w:pPr>
        <w:jc w:val="center"/>
        <w:rPr>
          <w:rFonts w:hint="eastAsia" w:ascii="黑体" w:eastAsia="黑体"/>
          <w:b/>
          <w:sz w:val="44"/>
          <w:szCs w:val="44"/>
          <w:highlight w:val="none"/>
          <w:lang w:val="en-US" w:eastAsia="zh-CN"/>
        </w:rPr>
      </w:pPr>
      <w:r>
        <w:rPr>
          <w:rFonts w:hint="eastAsia" w:ascii="Arial" w:hAnsi="Arial" w:eastAsia="黑体" w:cs="Times New Roman"/>
          <w:b/>
          <w:kern w:val="2"/>
          <w:sz w:val="48"/>
          <w:szCs w:val="48"/>
          <w:highlight w:val="none"/>
          <w:lang w:val="en-US" w:eastAsia="zh-CN" w:bidi="ar-SA"/>
        </w:rPr>
        <w:t>声明书</w:t>
      </w:r>
    </w:p>
    <w:p w14:paraId="301984E2">
      <w:pPr>
        <w:spacing w:line="420" w:lineRule="exact"/>
        <w:ind w:firstLine="562" w:firstLineChars="200"/>
        <w:rPr>
          <w:rFonts w:hint="eastAsia" w:ascii="宋体" w:hAnsi="宋体" w:cs="Times New Roman"/>
          <w:b/>
          <w:bCs/>
          <w:sz w:val="28"/>
          <w:szCs w:val="28"/>
          <w:highlight w:val="none"/>
          <w:lang w:val="en-US" w:eastAsia="zh-CN"/>
        </w:rPr>
      </w:pPr>
      <w:r>
        <w:rPr>
          <w:rFonts w:hint="eastAsia" w:ascii="宋体" w:hAnsi="宋体" w:cs="Times New Roman"/>
          <w:b/>
          <w:bCs/>
          <w:sz w:val="28"/>
          <w:szCs w:val="28"/>
          <w:highlight w:val="none"/>
          <w:lang w:val="en-US" w:eastAsia="zh-CN"/>
        </w:rPr>
        <w:t>衡阳弘尊建筑工程有限公司：</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声明人：（加</w:t>
      </w:r>
      <w:r>
        <w:rPr>
          <w:rFonts w:hint="eastAsia" w:ascii="宋体" w:hAnsi="宋体" w:eastAsia="宋体" w:cs="Times New Roman"/>
          <w:sz w:val="24"/>
          <w:szCs w:val="24"/>
          <w:highlight w:val="none"/>
        </w:rPr>
        <w:t>盖</w:t>
      </w:r>
      <w:r>
        <w:rPr>
          <w:rFonts w:hint="eastAsia" w:ascii="宋体" w:hAnsi="宋体" w:eastAsia="宋体" w:cs="Times New Roman"/>
          <w:sz w:val="24"/>
          <w:szCs w:val="24"/>
          <w:highlight w:val="none"/>
          <w:lang w:val="en-US" w:eastAsia="zh-CN"/>
        </w:rPr>
        <w:t>公</w:t>
      </w:r>
      <w:r>
        <w:rPr>
          <w:rFonts w:hint="eastAsia" w:ascii="宋体" w:hAnsi="宋体" w:eastAsia="宋体" w:cs="Times New Roman"/>
          <w:sz w:val="24"/>
          <w:szCs w:val="24"/>
          <w:highlight w:val="none"/>
        </w:rPr>
        <w:t>章</w:t>
      </w:r>
      <w:r>
        <w:rPr>
          <w:rFonts w:hint="eastAsia" w:ascii="宋体" w:hAnsi="宋体" w:eastAsia="宋体" w:cs="Times New Roman"/>
          <w:sz w:val="24"/>
          <w:szCs w:val="24"/>
          <w:highlight w:val="none"/>
          <w:lang w:eastAsia="zh-CN"/>
        </w:rPr>
        <w:t>）</w:t>
      </w:r>
    </w:p>
    <w:p w14:paraId="15C102D8">
      <w:pPr>
        <w:spacing w:line="500" w:lineRule="exact"/>
        <w:ind w:firstLine="2985" w:firstLineChars="1244"/>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或委托代理人</w:t>
      </w:r>
      <w:r>
        <w:rPr>
          <w:rFonts w:hint="eastAsia" w:ascii="宋体" w:hAnsi="宋体" w:eastAsia="宋体" w:cs="Times New Roman"/>
          <w:sz w:val="24"/>
          <w:szCs w:val="24"/>
          <w:highlight w:val="none"/>
          <w:lang w:eastAsia="zh-CN"/>
        </w:rPr>
        <w:t>）</w:t>
      </w:r>
    </w:p>
    <w:p w14:paraId="2013DFBF">
      <w:pPr>
        <w:spacing w:line="600" w:lineRule="auto"/>
        <w:ind w:firstLine="5371" w:firstLineChars="223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年     月     日</w:t>
      </w:r>
    </w:p>
    <w:p w14:paraId="48F3BD07">
      <w:pPr>
        <w:spacing w:line="600" w:lineRule="auto"/>
        <w:ind w:firstLine="5371" w:firstLineChars="2238"/>
        <w:jc w:val="left"/>
        <w:rPr>
          <w:rFonts w:hint="eastAsia" w:ascii="宋体" w:hAnsi="宋体" w:eastAsia="宋体" w:cs="Times New Roman"/>
          <w:sz w:val="24"/>
          <w:szCs w:val="24"/>
          <w:highlight w:val="none"/>
        </w:rPr>
      </w:pPr>
    </w:p>
    <w:p w14:paraId="0D9B0FC3">
      <w:pPr>
        <w:spacing w:line="600" w:lineRule="auto"/>
        <w:ind w:firstLine="5371" w:firstLineChars="2238"/>
        <w:jc w:val="left"/>
        <w:rPr>
          <w:rFonts w:hint="eastAsia" w:ascii="宋体" w:hAnsi="宋体" w:eastAsia="宋体" w:cs="Times New Roman"/>
          <w:sz w:val="24"/>
          <w:szCs w:val="24"/>
          <w:highlight w:val="none"/>
        </w:rPr>
      </w:pPr>
    </w:p>
    <w:p w14:paraId="4F34EEAF">
      <w:pPr>
        <w:spacing w:line="600" w:lineRule="auto"/>
        <w:ind w:firstLine="5371" w:firstLineChars="2238"/>
        <w:jc w:val="left"/>
        <w:rPr>
          <w:rFonts w:hint="eastAsia" w:ascii="宋体" w:hAnsi="宋体" w:eastAsia="宋体" w:cs="Times New Roman"/>
          <w:sz w:val="24"/>
          <w:szCs w:val="24"/>
          <w:highlight w:val="none"/>
        </w:rPr>
      </w:pPr>
    </w:p>
    <w:p w14:paraId="015242DA">
      <w:pPr>
        <w:spacing w:line="600" w:lineRule="auto"/>
        <w:ind w:firstLine="5371" w:firstLineChars="2238"/>
        <w:jc w:val="left"/>
        <w:rPr>
          <w:rFonts w:hint="eastAsia" w:ascii="宋体" w:hAnsi="宋体" w:eastAsia="宋体" w:cs="Times New Roman"/>
          <w:sz w:val="24"/>
          <w:szCs w:val="24"/>
          <w:highlight w:val="none"/>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highlight w:val="none"/>
          <w:lang w:val="en-US" w:eastAsia="zh-CN" w:bidi="ar-SA"/>
        </w:rPr>
        <w:t>第四章  评标办法（经评审的最低投标价法）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中</w:t>
            </w:r>
            <w:r>
              <w:rPr>
                <w:rFonts w:hint="eastAsia" w:ascii="仿宋" w:hAnsi="仿宋" w:eastAsia="仿宋" w:cs="仿宋"/>
                <w:kern w:val="0"/>
                <w:szCs w:val="21"/>
                <w:highlight w:val="none"/>
                <w:lang w:val="en-US" w:eastAsia="zh-CN"/>
              </w:rPr>
              <w:t>选</w:t>
            </w:r>
            <w:r>
              <w:rPr>
                <w:rFonts w:hint="eastAsia" w:ascii="仿宋" w:hAnsi="仿宋" w:eastAsia="仿宋" w:cs="仿宋"/>
                <w:kern w:val="0"/>
                <w:szCs w:val="21"/>
                <w:highlight w:val="none"/>
              </w:rPr>
              <w:t>候选人</w:t>
            </w:r>
            <w:r>
              <w:rPr>
                <w:rFonts w:hint="eastAsia" w:ascii="仿宋" w:hAnsi="仿宋" w:eastAsia="仿宋" w:cs="仿宋"/>
                <w:kern w:val="0"/>
                <w:szCs w:val="21"/>
                <w:highlight w:val="none"/>
                <w:lang w:val="en-US" w:eastAsia="zh-CN"/>
              </w:rPr>
              <w:t>排序</w:t>
            </w:r>
          </w:p>
          <w:p w14:paraId="4DD9D972">
            <w:pPr>
              <w:widowControl/>
              <w:spacing w:line="360" w:lineRule="exact"/>
              <w:jc w:val="center"/>
              <w:rPr>
                <w:rFonts w:hint="eastAsia" w:ascii="仿宋" w:hAnsi="仿宋" w:eastAsia="仿宋" w:cs="仿宋"/>
                <w:kern w:val="0"/>
                <w:szCs w:val="21"/>
                <w:highlight w:val="none"/>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val="en-US" w:eastAsia="zh-CN"/>
              </w:rPr>
              <w:t>对符合性评审、资格评审符合要求的参选单位进行报价评审，按照“报价偏差率最小”的原则进行排名，偏差率最小的排名第一，依此类推。如报价完全一致，按现场签到的先后时间顺序确定中选候选人排序。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符合性</w:t>
            </w:r>
            <w:r>
              <w:rPr>
                <w:rFonts w:hint="eastAsia" w:ascii="仿宋" w:hAnsi="仿宋" w:eastAsia="仿宋" w:cs="仿宋"/>
                <w:kern w:val="0"/>
                <w:szCs w:val="21"/>
                <w:highlight w:val="none"/>
              </w:rPr>
              <w:t>评</w:t>
            </w:r>
          </w:p>
          <w:p w14:paraId="795601EB">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szCs w:val="21"/>
                <w:highlight w:val="none"/>
                <w:lang w:val="en-US" w:eastAsia="zh-CN"/>
              </w:rPr>
              <w:t>按</w:t>
            </w:r>
            <w:r>
              <w:rPr>
                <w:rFonts w:hint="eastAsia" w:ascii="仿宋" w:hAnsi="仿宋" w:eastAsia="仿宋" w:cs="仿宋"/>
                <w:kern w:val="0"/>
                <w:szCs w:val="21"/>
                <w:highlight w:val="none"/>
                <w:lang w:eastAsia="zh-CN"/>
              </w:rPr>
              <w:t>“</w:t>
            </w:r>
            <w:r>
              <w:rPr>
                <w:rFonts w:hint="eastAsia" w:ascii="仿宋" w:hAnsi="仿宋" w:eastAsia="仿宋" w:cs="仿宋"/>
                <w:szCs w:val="21"/>
                <w:highlight w:val="none"/>
                <w:lang w:val="en-US" w:eastAsia="zh-CN"/>
              </w:rPr>
              <w:t>附件6报价一览表”要求</w:t>
            </w:r>
            <w:r>
              <w:rPr>
                <w:rFonts w:hint="eastAsia" w:ascii="仿宋" w:hAnsi="仿宋" w:eastAsia="仿宋" w:cs="仿宋"/>
                <w:kern w:val="0"/>
                <w:szCs w:val="21"/>
                <w:highlight w:val="none"/>
                <w:lang w:val="en-US" w:eastAsia="zh-CN"/>
              </w:rPr>
              <w:t>投标报价（附报价清单）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5" w:hRule="atLeast"/>
          <w:jc w:val="center"/>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内容及</w:t>
            </w:r>
            <w:r>
              <w:rPr>
                <w:rFonts w:hint="eastAsia" w:ascii="仿宋" w:hAnsi="仿宋" w:eastAsia="仿宋" w:cs="仿宋"/>
                <w:kern w:val="0"/>
                <w:szCs w:val="21"/>
                <w:highlight w:val="none"/>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第一条“参选文件编制主要内容及格式”</w:t>
            </w:r>
            <w:r>
              <w:rPr>
                <w:rFonts w:hint="eastAsia" w:ascii="仿宋" w:hAnsi="仿宋" w:eastAsia="仿宋" w:cs="仿宋"/>
                <w:kern w:val="0"/>
                <w:szCs w:val="21"/>
                <w:highlight w:val="none"/>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第二条“参选文件编制要求”</w:t>
            </w:r>
            <w:r>
              <w:rPr>
                <w:rFonts w:hint="eastAsia" w:ascii="仿宋" w:hAnsi="仿宋" w:eastAsia="仿宋" w:cs="仿宋"/>
                <w:kern w:val="0"/>
                <w:szCs w:val="21"/>
                <w:highlight w:val="none"/>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highlight w:val="none"/>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2" w:firstLineChars="200"/>
              <w:rPr>
                <w:rFonts w:hint="eastAsia" w:ascii="仿宋" w:hAnsi="仿宋" w:eastAsia="仿宋" w:cs="仿宋"/>
                <w:kern w:val="0"/>
                <w:szCs w:val="21"/>
                <w:highlight w:val="none"/>
              </w:rPr>
            </w:pPr>
            <w:r>
              <w:rPr>
                <w:rFonts w:hint="eastAsia" w:ascii="仿宋" w:hAnsi="仿宋" w:eastAsia="仿宋" w:cs="仿宋"/>
                <w:b/>
                <w:kern w:val="0"/>
                <w:szCs w:val="21"/>
                <w:highlight w:val="none"/>
              </w:rPr>
              <w:t>以上评审有一条不通过，则视为</w:t>
            </w:r>
            <w:r>
              <w:rPr>
                <w:rFonts w:hint="eastAsia" w:ascii="仿宋" w:hAnsi="仿宋" w:eastAsia="仿宋" w:cs="仿宋"/>
                <w:b/>
                <w:kern w:val="0"/>
                <w:szCs w:val="21"/>
                <w:highlight w:val="none"/>
                <w:lang w:val="en-US" w:eastAsia="zh-CN"/>
              </w:rPr>
              <w:t>符合性</w:t>
            </w:r>
            <w:r>
              <w:rPr>
                <w:rFonts w:hint="eastAsia" w:ascii="仿宋" w:hAnsi="仿宋" w:eastAsia="仿宋" w:cs="仿宋"/>
                <w:b/>
                <w:kern w:val="0"/>
                <w:szCs w:val="21"/>
                <w:highlight w:val="none"/>
              </w:rPr>
              <w:t>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rPr>
              <w:t>。</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资格评</w:t>
            </w:r>
          </w:p>
          <w:p w14:paraId="7121D3F7">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highlight w:val="none"/>
              </w:rPr>
            </w:pPr>
            <w:r>
              <w:rPr>
                <w:rFonts w:hint="eastAsia" w:ascii="仿宋" w:hAnsi="仿宋" w:eastAsia="仿宋" w:cs="仿宋"/>
                <w:szCs w:val="21"/>
                <w:highlight w:val="none"/>
              </w:rPr>
              <w:t>类似</w:t>
            </w:r>
            <w:r>
              <w:rPr>
                <w:rFonts w:hint="eastAsia" w:ascii="仿宋" w:hAnsi="仿宋" w:eastAsia="仿宋" w:cs="仿宋"/>
                <w:szCs w:val="21"/>
                <w:highlight w:val="none"/>
                <w:lang w:val="en-US" w:eastAsia="zh-CN"/>
              </w:rPr>
              <w:t>项目</w:t>
            </w:r>
            <w:r>
              <w:rPr>
                <w:rFonts w:hint="eastAsia" w:ascii="仿宋" w:hAnsi="仿宋" w:eastAsia="仿宋" w:cs="仿宋"/>
                <w:kern w:val="0"/>
                <w:szCs w:val="21"/>
                <w:highlight w:val="none"/>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1DF0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652C07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EF90D0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59F50AB1">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vAlign w:val="center"/>
          </w:tcPr>
          <w:p w14:paraId="067FA3C8">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537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B80F46A">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68D59327">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06BB3DE">
            <w:pPr>
              <w:widowControl/>
              <w:spacing w:line="360" w:lineRule="exac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vAlign w:val="center"/>
          </w:tcPr>
          <w:p w14:paraId="6D1B82EA">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493A133">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4E7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0B34EC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6E431B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487C76D">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关联</w:t>
            </w:r>
            <w:r>
              <w:rPr>
                <w:rFonts w:hint="default" w:ascii="仿宋" w:hAnsi="仿宋" w:eastAsia="仿宋" w:cs="仿宋"/>
                <w:kern w:val="0"/>
                <w:szCs w:val="21"/>
                <w:highlight w:val="none"/>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6052A75">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C78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4ED28D9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F364BAC">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30FB9C7">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4BCB8527">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6437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78EB3889">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54F443E2">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9B68EFD">
            <w:pPr>
              <w:widowControl/>
              <w:spacing w:line="360" w:lineRule="exac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lang w:val="en-US" w:eastAsia="zh-CN"/>
              </w:rPr>
              <w:t>其他要求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57A9A831">
            <w:pPr>
              <w:widowControl/>
              <w:spacing w:line="360" w:lineRule="exact"/>
              <w:ind w:firstLine="420" w:firstLineChars="200"/>
              <w:jc w:val="both"/>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3B7D605A">
            <w:pPr>
              <w:widowControl/>
              <w:jc w:val="left"/>
              <w:rPr>
                <w:rFonts w:hint="eastAsia" w:ascii="仿宋" w:hAnsi="仿宋" w:eastAsia="仿宋" w:cs="仿宋"/>
                <w:kern w:val="0"/>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highlight w:val="none"/>
                <w:lang w:eastAsia="zh-CN"/>
              </w:rPr>
            </w:pPr>
            <w:r>
              <w:rPr>
                <w:rFonts w:hint="eastAsia" w:ascii="仿宋" w:hAnsi="仿宋" w:eastAsia="仿宋" w:cs="仿宋"/>
                <w:b/>
                <w:kern w:val="0"/>
                <w:szCs w:val="21"/>
                <w:highlight w:val="none"/>
              </w:rPr>
              <w:t>以上评审有一条不通过，则视为资格评审标准不通过，不进入下一步评审，应当否决其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lang w:eastAsia="zh-CN"/>
              </w:rPr>
              <w:t>。</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S=（S</w:t>
            </w:r>
            <w:r>
              <w:rPr>
                <w:rFonts w:hint="eastAsia" w:ascii="仿宋" w:hAnsi="仿宋" w:eastAsia="仿宋" w:cs="仿宋"/>
                <w:kern w:val="0"/>
                <w:sz w:val="18"/>
                <w:szCs w:val="18"/>
                <w:highlight w:val="none"/>
                <w:lang w:val="en-US" w:eastAsia="zh-CN"/>
              </w:rPr>
              <w:t>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按照“报价偏差率最小”的原则进行排名，偏差率最小的排名第一，依此类推。</w:t>
            </w:r>
          </w:p>
          <w:p w14:paraId="237E0E52">
            <w:pPr>
              <w:widowControl/>
              <w:spacing w:line="36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报价低于项目最高投标限价70%视为无效报价。</w:t>
            </w:r>
          </w:p>
        </w:tc>
      </w:tr>
    </w:tbl>
    <w:p w14:paraId="23CD88D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7DD26DE9">
      <w:pPr>
        <w:pStyle w:val="25"/>
        <w:rPr>
          <w:rFonts w:hint="default"/>
          <w:color w:val="auto"/>
          <w:highlight w:val="none"/>
          <w:lang w:val="en-US" w:eastAsia="zh-CN"/>
        </w:rPr>
      </w:pPr>
    </w:p>
    <w:sectPr>
      <w:pgSz w:w="11906" w:h="16838"/>
      <w:pgMar w:top="1440" w:right="1800" w:bottom="1440" w:left="140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81758A-E7C8-4E1A-A745-81F79187DA64}"/>
  </w:font>
  <w:font w:name="黑体">
    <w:panose1 w:val="02010609060101010101"/>
    <w:charset w:val="86"/>
    <w:family w:val="auto"/>
    <w:pitch w:val="default"/>
    <w:sig w:usb0="800002BF" w:usb1="38CF7CFA" w:usb2="00000016" w:usb3="00000000" w:csb0="00040001" w:csb1="00000000"/>
    <w:embedRegular r:id="rId2" w:fontKey="{E731C8DB-925F-4670-906C-85DD56DA71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B726A39-E5D0-46EB-B3A4-21D4E584B336}"/>
  </w:font>
  <w:font w:name="方正小标宋简体">
    <w:panose1 w:val="02000000000000000000"/>
    <w:charset w:val="86"/>
    <w:family w:val="auto"/>
    <w:pitch w:val="default"/>
    <w:sig w:usb0="00000001" w:usb1="08000000" w:usb2="00000000" w:usb3="00000000" w:csb0="00040000" w:csb1="00000000"/>
    <w:embedRegular r:id="rId4" w:fontKey="{27E85351-646B-40F4-911F-2AF2D92A9E5C}"/>
  </w:font>
  <w:font w:name="Cambria">
    <w:panose1 w:val="02040503050406030204"/>
    <w:charset w:val="00"/>
    <w:family w:val="roman"/>
    <w:pitch w:val="default"/>
    <w:sig w:usb0="E00006FF" w:usb1="420024FF" w:usb2="02000000" w:usb3="00000000" w:csb0="2000019F" w:csb1="00000000"/>
    <w:embedRegular r:id="rId5" w:fontKey="{BE57DC0B-6DC4-4BB7-8C75-710099FB927C}"/>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6" w:fontKey="{3289A5AC-285F-429E-B2EC-CD2A457AAD4D}"/>
  </w:font>
  <w:font w:name="方正小标宋_GBK">
    <w:panose1 w:val="02000000000000000000"/>
    <w:charset w:val="86"/>
    <w:family w:val="auto"/>
    <w:pitch w:val="default"/>
    <w:sig w:usb0="A00002BF" w:usb1="38CF7CFA" w:usb2="00082016" w:usb3="00000000" w:csb0="00040001" w:csb1="00000000"/>
    <w:embedRegular r:id="rId7" w:fontKey="{7FF355F7-551C-4D03-98A6-2FC6193898EA}"/>
  </w:font>
  <w:font w:name="华文中宋">
    <w:panose1 w:val="02010600040101010101"/>
    <w:charset w:val="86"/>
    <w:family w:val="auto"/>
    <w:pitch w:val="default"/>
    <w:sig w:usb0="00000287" w:usb1="080F0000" w:usb2="00000000" w:usb3="00000000" w:csb0="0004009F" w:csb1="DFD70000"/>
    <w:embedRegular r:id="rId8" w:fontKey="{4845CC1F-6571-4AD4-A5E0-29A157424460}"/>
  </w:font>
  <w:font w:name="仿宋">
    <w:panose1 w:val="02010609060101010101"/>
    <w:charset w:val="86"/>
    <w:family w:val="modern"/>
    <w:pitch w:val="default"/>
    <w:sig w:usb0="800002BF" w:usb1="38CF7CFA" w:usb2="00000016" w:usb3="00000000" w:csb0="00040001" w:csb1="00000000"/>
    <w:embedRegular r:id="rId9" w:fontKey="{4A28650A-8DBE-4B93-9EBF-C838678F936F}"/>
  </w:font>
  <w:font w:name="华文仿宋">
    <w:panose1 w:val="02010600040101010101"/>
    <w:charset w:val="86"/>
    <w:family w:val="auto"/>
    <w:pitch w:val="default"/>
    <w:sig w:usb0="00000287" w:usb1="080F0000" w:usb2="00000000" w:usb3="00000000" w:csb0="0004009F" w:csb1="DFD70000"/>
    <w:embedRegular r:id="rId10" w:fontKey="{4F9BB4C9-224C-4C97-B4D9-F4F8A5D222A6}"/>
  </w:font>
  <w:font w:name="Microsoft YaHei UI">
    <w:panose1 w:val="020B0503020204020204"/>
    <w:charset w:val="86"/>
    <w:family w:val="swiss"/>
    <w:pitch w:val="default"/>
    <w:sig w:usb0="80000287" w:usb1="2ACF3C50" w:usb2="00000016" w:usb3="00000000" w:csb0="0004001F" w:csb1="00000000"/>
    <w:embedRegular r:id="rId11" w:fontKey="{3AB73608-CEAB-45A8-A249-EB99560E13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6A00">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docPartObj>
                              <w:docPartGallery w:val="autotext"/>
                            </w:docPartObj>
                          </w:sdtPr>
                          <w:sdtContent>
                            <w:p w14:paraId="12C9AB1F">
                              <w:pPr>
                                <w:pStyle w:val="13"/>
                                <w:jc w:val="center"/>
                              </w:pPr>
                              <w:r>
                                <w:fldChar w:fldCharType="begin"/>
                              </w:r>
                              <w:r>
                                <w:instrText xml:space="preserve">PAGE   \* MERGEFORMAT</w:instrText>
                              </w:r>
                              <w:r>
                                <w:fldChar w:fldCharType="separate"/>
                              </w:r>
                              <w:r>
                                <w:rPr>
                                  <w:lang w:val="zh-CN"/>
                                </w:rPr>
                                <w:t>1</w:t>
                              </w:r>
                              <w:r>
                                <w:fldChar w:fldCharType="end"/>
                              </w:r>
                            </w:p>
                          </w:sdtContent>
                        </w:sdt>
                        <w:p w14:paraId="1BA4B30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17839208"/>
                      <w:docPartObj>
                        <w:docPartGallery w:val="autotext"/>
                      </w:docPartObj>
                    </w:sdtPr>
                    <w:sdtContent>
                      <w:p w14:paraId="12C9AB1F">
                        <w:pPr>
                          <w:pStyle w:val="13"/>
                          <w:jc w:val="center"/>
                        </w:pPr>
                        <w:r>
                          <w:fldChar w:fldCharType="begin"/>
                        </w:r>
                        <w:r>
                          <w:instrText xml:space="preserve">PAGE   \* MERGEFORMAT</w:instrText>
                        </w:r>
                        <w:r>
                          <w:fldChar w:fldCharType="separate"/>
                        </w:r>
                        <w:r>
                          <w:rPr>
                            <w:lang w:val="zh-CN"/>
                          </w:rPr>
                          <w:t>1</w:t>
                        </w:r>
                        <w:r>
                          <w:fldChar w:fldCharType="end"/>
                        </w:r>
                      </w:p>
                    </w:sdtContent>
                  </w:sdt>
                  <w:p w14:paraId="1BA4B304"/>
                </w:txbxContent>
              </v:textbox>
            </v:shape>
          </w:pict>
        </mc:Fallback>
      </mc:AlternateContent>
    </w:r>
  </w:p>
  <w:p w14:paraId="123479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A9AD">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FE0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0EFE08">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3B047">
                          <w:pPr>
                            <w:pStyle w:val="13"/>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23B047">
                    <w:pPr>
                      <w:pStyle w:val="13"/>
                      <w:rPr>
                        <w:rFonts w:hint="default"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56A4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56A4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947BF"/>
    <w:multiLevelType w:val="multilevel"/>
    <w:tmpl w:val="092947BF"/>
    <w:lvl w:ilvl="0" w:tentative="0">
      <w:start w:val="2"/>
      <w:numFmt w:val="decimal"/>
      <w:suff w:val="nothing"/>
      <w:lvlText w:val="%1、"/>
      <w:lvlJc w:val="left"/>
      <w:pPr>
        <w:ind w:left="0" w:firstLine="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496B61F7"/>
    <w:multiLevelType w:val="multilevel"/>
    <w:tmpl w:val="496B61F7"/>
    <w:lvl w:ilvl="0" w:tentative="0">
      <w:start w:val="1"/>
      <w:numFmt w:val="decimal"/>
      <w:lvlText w:val="%1、"/>
      <w:lvlJc w:val="left"/>
      <w:pPr>
        <w:ind w:left="720" w:hanging="720"/>
      </w:pPr>
      <w:rPr>
        <w:rFonts w:hint="default" w:cs="Times New Roman"/>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mU4ZWFmNWVmYTNhNWNmNjYyZmE3MDgwYzAxODgifQ=="/>
  </w:docVars>
  <w:rsids>
    <w:rsidRoot w:val="00172A27"/>
    <w:rsid w:val="000273CC"/>
    <w:rsid w:val="00125861"/>
    <w:rsid w:val="00294959"/>
    <w:rsid w:val="004E2611"/>
    <w:rsid w:val="00577CA6"/>
    <w:rsid w:val="006275E2"/>
    <w:rsid w:val="00727D87"/>
    <w:rsid w:val="00942B50"/>
    <w:rsid w:val="00953D9C"/>
    <w:rsid w:val="0097492C"/>
    <w:rsid w:val="00CF1D6C"/>
    <w:rsid w:val="00EF7950"/>
    <w:rsid w:val="011A0556"/>
    <w:rsid w:val="011A24F4"/>
    <w:rsid w:val="011E3478"/>
    <w:rsid w:val="01364AD8"/>
    <w:rsid w:val="01500697"/>
    <w:rsid w:val="018E53BB"/>
    <w:rsid w:val="01A8210A"/>
    <w:rsid w:val="01B841E6"/>
    <w:rsid w:val="01B96DFD"/>
    <w:rsid w:val="01FC3891"/>
    <w:rsid w:val="022E7E09"/>
    <w:rsid w:val="02330306"/>
    <w:rsid w:val="023A11D8"/>
    <w:rsid w:val="02566131"/>
    <w:rsid w:val="025907ED"/>
    <w:rsid w:val="02761F3B"/>
    <w:rsid w:val="02897931"/>
    <w:rsid w:val="029A7D90"/>
    <w:rsid w:val="02D63C99"/>
    <w:rsid w:val="02DD6899"/>
    <w:rsid w:val="02E34ED6"/>
    <w:rsid w:val="02FC6355"/>
    <w:rsid w:val="03041DBD"/>
    <w:rsid w:val="03174F3D"/>
    <w:rsid w:val="031E038B"/>
    <w:rsid w:val="032B6C3A"/>
    <w:rsid w:val="03394CF0"/>
    <w:rsid w:val="033E00AD"/>
    <w:rsid w:val="0341020B"/>
    <w:rsid w:val="03473B75"/>
    <w:rsid w:val="035B12CD"/>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7D5273"/>
    <w:rsid w:val="04A62A1C"/>
    <w:rsid w:val="04D035F5"/>
    <w:rsid w:val="05451806"/>
    <w:rsid w:val="056902D2"/>
    <w:rsid w:val="0571302A"/>
    <w:rsid w:val="05756DE3"/>
    <w:rsid w:val="057D69E2"/>
    <w:rsid w:val="05A8679C"/>
    <w:rsid w:val="05B1370D"/>
    <w:rsid w:val="05B60A3D"/>
    <w:rsid w:val="05C56ED2"/>
    <w:rsid w:val="05EB743C"/>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02112"/>
    <w:rsid w:val="090F782C"/>
    <w:rsid w:val="093F333A"/>
    <w:rsid w:val="09590F21"/>
    <w:rsid w:val="09715E3C"/>
    <w:rsid w:val="097737F5"/>
    <w:rsid w:val="09A514F4"/>
    <w:rsid w:val="09A51D4C"/>
    <w:rsid w:val="09B352D3"/>
    <w:rsid w:val="09C20233"/>
    <w:rsid w:val="09D45935"/>
    <w:rsid w:val="0A1B478D"/>
    <w:rsid w:val="0A3A2269"/>
    <w:rsid w:val="0A8245A3"/>
    <w:rsid w:val="0A95265E"/>
    <w:rsid w:val="0AA7498C"/>
    <w:rsid w:val="0B0623DF"/>
    <w:rsid w:val="0B220922"/>
    <w:rsid w:val="0B5605CC"/>
    <w:rsid w:val="0B5F64B2"/>
    <w:rsid w:val="0BB52396"/>
    <w:rsid w:val="0BBA3B3F"/>
    <w:rsid w:val="0BC1013B"/>
    <w:rsid w:val="0BC11EE9"/>
    <w:rsid w:val="0C281C8D"/>
    <w:rsid w:val="0C346B5F"/>
    <w:rsid w:val="0C357C33"/>
    <w:rsid w:val="0C3C6C9A"/>
    <w:rsid w:val="0C3E0632"/>
    <w:rsid w:val="0C794EB2"/>
    <w:rsid w:val="0C8E2786"/>
    <w:rsid w:val="0CAD2F27"/>
    <w:rsid w:val="0CAF4438"/>
    <w:rsid w:val="0CB11F5E"/>
    <w:rsid w:val="0CC9374C"/>
    <w:rsid w:val="0CE146C4"/>
    <w:rsid w:val="0D4E0FEF"/>
    <w:rsid w:val="0D5079C9"/>
    <w:rsid w:val="0D616ED1"/>
    <w:rsid w:val="0D6E7E4F"/>
    <w:rsid w:val="0D837D9E"/>
    <w:rsid w:val="0D8F7A7E"/>
    <w:rsid w:val="0DD759F4"/>
    <w:rsid w:val="0DDC3ED4"/>
    <w:rsid w:val="0E0B7D94"/>
    <w:rsid w:val="0E2F75DE"/>
    <w:rsid w:val="0E372937"/>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665B03"/>
    <w:rsid w:val="10CA0744"/>
    <w:rsid w:val="11160F29"/>
    <w:rsid w:val="11226F4D"/>
    <w:rsid w:val="112460E6"/>
    <w:rsid w:val="112D6B93"/>
    <w:rsid w:val="1148586D"/>
    <w:rsid w:val="115F51E1"/>
    <w:rsid w:val="117B4848"/>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4D84564"/>
    <w:rsid w:val="150026A8"/>
    <w:rsid w:val="152A0CD3"/>
    <w:rsid w:val="154E5444"/>
    <w:rsid w:val="15595889"/>
    <w:rsid w:val="15643BA8"/>
    <w:rsid w:val="156E1C8F"/>
    <w:rsid w:val="15A24B3A"/>
    <w:rsid w:val="15A92036"/>
    <w:rsid w:val="15C42D02"/>
    <w:rsid w:val="15CB3543"/>
    <w:rsid w:val="16007AB2"/>
    <w:rsid w:val="160A6A90"/>
    <w:rsid w:val="160A73F8"/>
    <w:rsid w:val="16105F47"/>
    <w:rsid w:val="16512DC9"/>
    <w:rsid w:val="16573AA7"/>
    <w:rsid w:val="1664374B"/>
    <w:rsid w:val="167745B8"/>
    <w:rsid w:val="16781D3E"/>
    <w:rsid w:val="16850754"/>
    <w:rsid w:val="1695644C"/>
    <w:rsid w:val="16ED6288"/>
    <w:rsid w:val="16F82EC2"/>
    <w:rsid w:val="172850DA"/>
    <w:rsid w:val="174F05A1"/>
    <w:rsid w:val="177D53E4"/>
    <w:rsid w:val="177D7366"/>
    <w:rsid w:val="17D24C75"/>
    <w:rsid w:val="17D6734C"/>
    <w:rsid w:val="17F727BA"/>
    <w:rsid w:val="17F7717D"/>
    <w:rsid w:val="1806190D"/>
    <w:rsid w:val="181D494B"/>
    <w:rsid w:val="186F2793"/>
    <w:rsid w:val="18761BDB"/>
    <w:rsid w:val="18812545"/>
    <w:rsid w:val="18BC5F12"/>
    <w:rsid w:val="18BD1C8B"/>
    <w:rsid w:val="18D22DC9"/>
    <w:rsid w:val="18E13BCB"/>
    <w:rsid w:val="18EE62E8"/>
    <w:rsid w:val="19031D93"/>
    <w:rsid w:val="19037FE5"/>
    <w:rsid w:val="190F698A"/>
    <w:rsid w:val="192B632A"/>
    <w:rsid w:val="193066BD"/>
    <w:rsid w:val="19407906"/>
    <w:rsid w:val="19474B83"/>
    <w:rsid w:val="19925AEB"/>
    <w:rsid w:val="19AF29F7"/>
    <w:rsid w:val="19AF4536"/>
    <w:rsid w:val="19B6182A"/>
    <w:rsid w:val="19D35C0A"/>
    <w:rsid w:val="19EF24A3"/>
    <w:rsid w:val="1A364C38"/>
    <w:rsid w:val="1A5A58B6"/>
    <w:rsid w:val="1A687CD6"/>
    <w:rsid w:val="1A8E48BD"/>
    <w:rsid w:val="1AD734D7"/>
    <w:rsid w:val="1AF35C55"/>
    <w:rsid w:val="1B027E29"/>
    <w:rsid w:val="1B456946"/>
    <w:rsid w:val="1B4F51DF"/>
    <w:rsid w:val="1B6D0ED3"/>
    <w:rsid w:val="1B7E1BA5"/>
    <w:rsid w:val="1B7F06C9"/>
    <w:rsid w:val="1BA86C22"/>
    <w:rsid w:val="1BC3660E"/>
    <w:rsid w:val="1C154381"/>
    <w:rsid w:val="1C3A159B"/>
    <w:rsid w:val="1C7020CB"/>
    <w:rsid w:val="1CC93433"/>
    <w:rsid w:val="1CCE7468"/>
    <w:rsid w:val="1CD87093"/>
    <w:rsid w:val="1CFC3B98"/>
    <w:rsid w:val="1D0450E2"/>
    <w:rsid w:val="1D185B91"/>
    <w:rsid w:val="1D1C3424"/>
    <w:rsid w:val="1D497F91"/>
    <w:rsid w:val="1D4F5CE8"/>
    <w:rsid w:val="1D566D77"/>
    <w:rsid w:val="1D6E4A05"/>
    <w:rsid w:val="1D743260"/>
    <w:rsid w:val="1DA227A9"/>
    <w:rsid w:val="1DBF79E1"/>
    <w:rsid w:val="1DFB128B"/>
    <w:rsid w:val="1E256308"/>
    <w:rsid w:val="1E3F4B15"/>
    <w:rsid w:val="1E40188A"/>
    <w:rsid w:val="1E5F0F63"/>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624C46"/>
    <w:rsid w:val="20854536"/>
    <w:rsid w:val="20C56D5C"/>
    <w:rsid w:val="20D66578"/>
    <w:rsid w:val="20FA3253"/>
    <w:rsid w:val="211B128C"/>
    <w:rsid w:val="212B00D9"/>
    <w:rsid w:val="21352D06"/>
    <w:rsid w:val="21470FA7"/>
    <w:rsid w:val="216A0B0A"/>
    <w:rsid w:val="2171021B"/>
    <w:rsid w:val="221C75B2"/>
    <w:rsid w:val="222F59A7"/>
    <w:rsid w:val="22557968"/>
    <w:rsid w:val="225B1B58"/>
    <w:rsid w:val="226338A3"/>
    <w:rsid w:val="2265761B"/>
    <w:rsid w:val="227028F7"/>
    <w:rsid w:val="22810CD6"/>
    <w:rsid w:val="229C5B1A"/>
    <w:rsid w:val="229D4A1D"/>
    <w:rsid w:val="22BE6D2B"/>
    <w:rsid w:val="22D93E0F"/>
    <w:rsid w:val="233429F8"/>
    <w:rsid w:val="23533F67"/>
    <w:rsid w:val="23612324"/>
    <w:rsid w:val="23722500"/>
    <w:rsid w:val="239C3958"/>
    <w:rsid w:val="23A61C99"/>
    <w:rsid w:val="23D41D17"/>
    <w:rsid w:val="23F63E82"/>
    <w:rsid w:val="242B03F0"/>
    <w:rsid w:val="24577437"/>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9C3827"/>
    <w:rsid w:val="26A526DC"/>
    <w:rsid w:val="26BD4A6B"/>
    <w:rsid w:val="272C0707"/>
    <w:rsid w:val="27321A96"/>
    <w:rsid w:val="27826579"/>
    <w:rsid w:val="279C55DC"/>
    <w:rsid w:val="27C26BCC"/>
    <w:rsid w:val="27D76283"/>
    <w:rsid w:val="27F31225"/>
    <w:rsid w:val="280A513D"/>
    <w:rsid w:val="281100FE"/>
    <w:rsid w:val="283346EC"/>
    <w:rsid w:val="28497097"/>
    <w:rsid w:val="287A2A85"/>
    <w:rsid w:val="2886653D"/>
    <w:rsid w:val="28956780"/>
    <w:rsid w:val="28A54C15"/>
    <w:rsid w:val="28CD7CC8"/>
    <w:rsid w:val="28E26544"/>
    <w:rsid w:val="28ED40C2"/>
    <w:rsid w:val="28F2772E"/>
    <w:rsid w:val="28F416F8"/>
    <w:rsid w:val="290E4B79"/>
    <w:rsid w:val="2916341D"/>
    <w:rsid w:val="292956A6"/>
    <w:rsid w:val="29424212"/>
    <w:rsid w:val="294C3CAC"/>
    <w:rsid w:val="29693E94"/>
    <w:rsid w:val="29733D0B"/>
    <w:rsid w:val="29842A7C"/>
    <w:rsid w:val="29855014"/>
    <w:rsid w:val="29D054FB"/>
    <w:rsid w:val="29F23E8A"/>
    <w:rsid w:val="29F535F9"/>
    <w:rsid w:val="29F71279"/>
    <w:rsid w:val="2A07200A"/>
    <w:rsid w:val="2A107348"/>
    <w:rsid w:val="2AA0743E"/>
    <w:rsid w:val="2AAE2211"/>
    <w:rsid w:val="2ABD2874"/>
    <w:rsid w:val="2ACE06A4"/>
    <w:rsid w:val="2AE15CAC"/>
    <w:rsid w:val="2B050156"/>
    <w:rsid w:val="2B213A70"/>
    <w:rsid w:val="2B295022"/>
    <w:rsid w:val="2B3D7387"/>
    <w:rsid w:val="2B5841C1"/>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F83A39"/>
    <w:rsid w:val="2DFA2441"/>
    <w:rsid w:val="2DFD4BAB"/>
    <w:rsid w:val="2DFF0535"/>
    <w:rsid w:val="2E0F73E1"/>
    <w:rsid w:val="2E1169DA"/>
    <w:rsid w:val="2E1563DF"/>
    <w:rsid w:val="2E2A34C6"/>
    <w:rsid w:val="2E3F51C4"/>
    <w:rsid w:val="2E463EBE"/>
    <w:rsid w:val="2E4A0987"/>
    <w:rsid w:val="2EBE2687"/>
    <w:rsid w:val="2F08082A"/>
    <w:rsid w:val="2F236894"/>
    <w:rsid w:val="2F350A84"/>
    <w:rsid w:val="2F432A92"/>
    <w:rsid w:val="2F454D87"/>
    <w:rsid w:val="2F464330"/>
    <w:rsid w:val="2F4B7B98"/>
    <w:rsid w:val="2F561FC3"/>
    <w:rsid w:val="2F68200A"/>
    <w:rsid w:val="2F6D396B"/>
    <w:rsid w:val="2F760342"/>
    <w:rsid w:val="2F827A5E"/>
    <w:rsid w:val="2FB120F1"/>
    <w:rsid w:val="2FC9403D"/>
    <w:rsid w:val="2FD732E5"/>
    <w:rsid w:val="2FDB474A"/>
    <w:rsid w:val="2FF206FB"/>
    <w:rsid w:val="30313232"/>
    <w:rsid w:val="30393E95"/>
    <w:rsid w:val="30890DB9"/>
    <w:rsid w:val="309F1F4A"/>
    <w:rsid w:val="30CC4D09"/>
    <w:rsid w:val="30D75B88"/>
    <w:rsid w:val="30F27492"/>
    <w:rsid w:val="30F27CC7"/>
    <w:rsid w:val="31304DFE"/>
    <w:rsid w:val="31326AF4"/>
    <w:rsid w:val="316A07AA"/>
    <w:rsid w:val="319F5F79"/>
    <w:rsid w:val="31C75BFC"/>
    <w:rsid w:val="31E6638F"/>
    <w:rsid w:val="321D568F"/>
    <w:rsid w:val="3244724D"/>
    <w:rsid w:val="324B0F45"/>
    <w:rsid w:val="324D55F8"/>
    <w:rsid w:val="3261306E"/>
    <w:rsid w:val="327B50A3"/>
    <w:rsid w:val="32B358D5"/>
    <w:rsid w:val="32FD564D"/>
    <w:rsid w:val="32FE1D85"/>
    <w:rsid w:val="331E1812"/>
    <w:rsid w:val="334375E7"/>
    <w:rsid w:val="335D42AC"/>
    <w:rsid w:val="33601811"/>
    <w:rsid w:val="33750268"/>
    <w:rsid w:val="339A7374"/>
    <w:rsid w:val="33CF4883"/>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59655D"/>
    <w:rsid w:val="35633E8E"/>
    <w:rsid w:val="357A6B67"/>
    <w:rsid w:val="358E5AF3"/>
    <w:rsid w:val="35CD57AB"/>
    <w:rsid w:val="35EE06C2"/>
    <w:rsid w:val="35FC6420"/>
    <w:rsid w:val="369752F7"/>
    <w:rsid w:val="36B23788"/>
    <w:rsid w:val="36B9292C"/>
    <w:rsid w:val="36BD11F9"/>
    <w:rsid w:val="371B60A2"/>
    <w:rsid w:val="373F6235"/>
    <w:rsid w:val="3748158D"/>
    <w:rsid w:val="37495343"/>
    <w:rsid w:val="37515F68"/>
    <w:rsid w:val="37647A49"/>
    <w:rsid w:val="3770735D"/>
    <w:rsid w:val="37712AB1"/>
    <w:rsid w:val="378431AA"/>
    <w:rsid w:val="37A91900"/>
    <w:rsid w:val="37EA0AA2"/>
    <w:rsid w:val="382014AF"/>
    <w:rsid w:val="388C54AA"/>
    <w:rsid w:val="38DE5291"/>
    <w:rsid w:val="39002FB3"/>
    <w:rsid w:val="3916393F"/>
    <w:rsid w:val="3926472A"/>
    <w:rsid w:val="39382F3B"/>
    <w:rsid w:val="394B239C"/>
    <w:rsid w:val="396226AE"/>
    <w:rsid w:val="397E1BE3"/>
    <w:rsid w:val="39924D42"/>
    <w:rsid w:val="399F56D1"/>
    <w:rsid w:val="39D53024"/>
    <w:rsid w:val="39D8471E"/>
    <w:rsid w:val="39DF5AAD"/>
    <w:rsid w:val="39F520EB"/>
    <w:rsid w:val="3A192D6D"/>
    <w:rsid w:val="3A2B7D28"/>
    <w:rsid w:val="3A3802A6"/>
    <w:rsid w:val="3A57018C"/>
    <w:rsid w:val="3AA67255"/>
    <w:rsid w:val="3AB06159"/>
    <w:rsid w:val="3AC70A1B"/>
    <w:rsid w:val="3ADC48A5"/>
    <w:rsid w:val="3AFE01B5"/>
    <w:rsid w:val="3B196D9D"/>
    <w:rsid w:val="3B304812"/>
    <w:rsid w:val="3B3D6F2F"/>
    <w:rsid w:val="3B5E12EE"/>
    <w:rsid w:val="3B6E63CB"/>
    <w:rsid w:val="3B8907CC"/>
    <w:rsid w:val="3B9A612F"/>
    <w:rsid w:val="3B9E4539"/>
    <w:rsid w:val="3BBD1E25"/>
    <w:rsid w:val="3BC203D3"/>
    <w:rsid w:val="3BC23901"/>
    <w:rsid w:val="3BEB24E7"/>
    <w:rsid w:val="3C487939"/>
    <w:rsid w:val="3C557E98"/>
    <w:rsid w:val="3C5C1637"/>
    <w:rsid w:val="3C821171"/>
    <w:rsid w:val="3C8446EA"/>
    <w:rsid w:val="3C85293C"/>
    <w:rsid w:val="3CB13731"/>
    <w:rsid w:val="3CD427F4"/>
    <w:rsid w:val="3CDD2778"/>
    <w:rsid w:val="3D271C45"/>
    <w:rsid w:val="3D38730A"/>
    <w:rsid w:val="3D755B93"/>
    <w:rsid w:val="3D7A72BF"/>
    <w:rsid w:val="3D7D3613"/>
    <w:rsid w:val="3E0022E3"/>
    <w:rsid w:val="3E143AEF"/>
    <w:rsid w:val="3E175815"/>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64190"/>
    <w:rsid w:val="408E0B98"/>
    <w:rsid w:val="40C30912"/>
    <w:rsid w:val="413B4B1F"/>
    <w:rsid w:val="4149060F"/>
    <w:rsid w:val="41531E07"/>
    <w:rsid w:val="416074D3"/>
    <w:rsid w:val="4163290A"/>
    <w:rsid w:val="416760A6"/>
    <w:rsid w:val="41760AA5"/>
    <w:rsid w:val="41967946"/>
    <w:rsid w:val="419F71A1"/>
    <w:rsid w:val="41CE268F"/>
    <w:rsid w:val="41DB1CB4"/>
    <w:rsid w:val="41F076C9"/>
    <w:rsid w:val="41F60AD4"/>
    <w:rsid w:val="42311E19"/>
    <w:rsid w:val="42914579"/>
    <w:rsid w:val="429B2C49"/>
    <w:rsid w:val="42C54FDF"/>
    <w:rsid w:val="42D2382D"/>
    <w:rsid w:val="42EC2600"/>
    <w:rsid w:val="430A0B4C"/>
    <w:rsid w:val="43497172"/>
    <w:rsid w:val="434B6EF0"/>
    <w:rsid w:val="43C83EB2"/>
    <w:rsid w:val="43FE2FD4"/>
    <w:rsid w:val="445B2CE2"/>
    <w:rsid w:val="448A0963"/>
    <w:rsid w:val="44B02520"/>
    <w:rsid w:val="44D212AD"/>
    <w:rsid w:val="44EF2547"/>
    <w:rsid w:val="44FC3AC2"/>
    <w:rsid w:val="45175502"/>
    <w:rsid w:val="45376375"/>
    <w:rsid w:val="45410CB2"/>
    <w:rsid w:val="454E5E7D"/>
    <w:rsid w:val="455A06DD"/>
    <w:rsid w:val="456D21BF"/>
    <w:rsid w:val="459C0CF6"/>
    <w:rsid w:val="45A007E6"/>
    <w:rsid w:val="45B147A1"/>
    <w:rsid w:val="45BB5620"/>
    <w:rsid w:val="45D115DB"/>
    <w:rsid w:val="460F771A"/>
    <w:rsid w:val="465A0995"/>
    <w:rsid w:val="46790470"/>
    <w:rsid w:val="467D3251"/>
    <w:rsid w:val="469519CD"/>
    <w:rsid w:val="46E979A2"/>
    <w:rsid w:val="46FC3DF0"/>
    <w:rsid w:val="471F398D"/>
    <w:rsid w:val="47472F21"/>
    <w:rsid w:val="475C698F"/>
    <w:rsid w:val="4783216D"/>
    <w:rsid w:val="479A77C1"/>
    <w:rsid w:val="47AD2F03"/>
    <w:rsid w:val="47B24BA1"/>
    <w:rsid w:val="47E55BC7"/>
    <w:rsid w:val="47FE634A"/>
    <w:rsid w:val="480A1F47"/>
    <w:rsid w:val="482C45B3"/>
    <w:rsid w:val="4836117E"/>
    <w:rsid w:val="484F781F"/>
    <w:rsid w:val="486A50DB"/>
    <w:rsid w:val="487230E1"/>
    <w:rsid w:val="488D7A30"/>
    <w:rsid w:val="48A71838"/>
    <w:rsid w:val="490B41C9"/>
    <w:rsid w:val="49282FCC"/>
    <w:rsid w:val="494A0AAA"/>
    <w:rsid w:val="496E51FF"/>
    <w:rsid w:val="4971418B"/>
    <w:rsid w:val="498E0B70"/>
    <w:rsid w:val="499951B9"/>
    <w:rsid w:val="499C6CC0"/>
    <w:rsid w:val="49B22896"/>
    <w:rsid w:val="49C36851"/>
    <w:rsid w:val="49D762D0"/>
    <w:rsid w:val="49F20EE5"/>
    <w:rsid w:val="4A056E6A"/>
    <w:rsid w:val="4A0D0E3A"/>
    <w:rsid w:val="4A143551"/>
    <w:rsid w:val="4A4048B6"/>
    <w:rsid w:val="4A5B358F"/>
    <w:rsid w:val="4A670C31"/>
    <w:rsid w:val="4A7B537E"/>
    <w:rsid w:val="4A8731C5"/>
    <w:rsid w:val="4A9536DD"/>
    <w:rsid w:val="4ADC72BE"/>
    <w:rsid w:val="4AF64A04"/>
    <w:rsid w:val="4B133808"/>
    <w:rsid w:val="4B185640"/>
    <w:rsid w:val="4B3469EB"/>
    <w:rsid w:val="4B3742C7"/>
    <w:rsid w:val="4B653A82"/>
    <w:rsid w:val="4B797B0F"/>
    <w:rsid w:val="4B897627"/>
    <w:rsid w:val="4B9A5CD8"/>
    <w:rsid w:val="4BF06EDF"/>
    <w:rsid w:val="4C196BFC"/>
    <w:rsid w:val="4C501819"/>
    <w:rsid w:val="4C667968"/>
    <w:rsid w:val="4C687B84"/>
    <w:rsid w:val="4C6E6818"/>
    <w:rsid w:val="4D2C4621"/>
    <w:rsid w:val="4D360ADE"/>
    <w:rsid w:val="4D424152"/>
    <w:rsid w:val="4D4C15F7"/>
    <w:rsid w:val="4D6D36A4"/>
    <w:rsid w:val="4D8C33FE"/>
    <w:rsid w:val="4DC66910"/>
    <w:rsid w:val="4DD1609C"/>
    <w:rsid w:val="4DD21759"/>
    <w:rsid w:val="4DDF1CAE"/>
    <w:rsid w:val="4DF64E7D"/>
    <w:rsid w:val="4E492E79"/>
    <w:rsid w:val="4E521354"/>
    <w:rsid w:val="4E5F7691"/>
    <w:rsid w:val="4E604FB7"/>
    <w:rsid w:val="4EAC01FC"/>
    <w:rsid w:val="4EB2061D"/>
    <w:rsid w:val="4EBB3F9B"/>
    <w:rsid w:val="4EE71889"/>
    <w:rsid w:val="4EF41136"/>
    <w:rsid w:val="4EFA0F67"/>
    <w:rsid w:val="4EFB6BA7"/>
    <w:rsid w:val="4F2C7509"/>
    <w:rsid w:val="4F566175"/>
    <w:rsid w:val="4F635353"/>
    <w:rsid w:val="4F8066BA"/>
    <w:rsid w:val="4F897338"/>
    <w:rsid w:val="4FE15C83"/>
    <w:rsid w:val="4FE966F0"/>
    <w:rsid w:val="500F106D"/>
    <w:rsid w:val="501E2AF4"/>
    <w:rsid w:val="50295C43"/>
    <w:rsid w:val="50357D7D"/>
    <w:rsid w:val="50586867"/>
    <w:rsid w:val="506D7517"/>
    <w:rsid w:val="50753961"/>
    <w:rsid w:val="5076676F"/>
    <w:rsid w:val="508A6E37"/>
    <w:rsid w:val="50C57353"/>
    <w:rsid w:val="50CE7D3D"/>
    <w:rsid w:val="50E2672F"/>
    <w:rsid w:val="50F639B0"/>
    <w:rsid w:val="50FB5F32"/>
    <w:rsid w:val="50FF3883"/>
    <w:rsid w:val="510175B8"/>
    <w:rsid w:val="510E4700"/>
    <w:rsid w:val="51126CB1"/>
    <w:rsid w:val="51145BE4"/>
    <w:rsid w:val="51165E00"/>
    <w:rsid w:val="512155DC"/>
    <w:rsid w:val="51281690"/>
    <w:rsid w:val="51330760"/>
    <w:rsid w:val="514A5AAA"/>
    <w:rsid w:val="51501312"/>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1574CD"/>
    <w:rsid w:val="544B7B6A"/>
    <w:rsid w:val="549D01C5"/>
    <w:rsid w:val="54A0435F"/>
    <w:rsid w:val="54A60154"/>
    <w:rsid w:val="54C067AF"/>
    <w:rsid w:val="54F40D0A"/>
    <w:rsid w:val="54F46459"/>
    <w:rsid w:val="551E5284"/>
    <w:rsid w:val="55382BA4"/>
    <w:rsid w:val="5593065D"/>
    <w:rsid w:val="55BE4C30"/>
    <w:rsid w:val="55D7555A"/>
    <w:rsid w:val="55E0078B"/>
    <w:rsid w:val="560324CA"/>
    <w:rsid w:val="563A7E9B"/>
    <w:rsid w:val="567E2550"/>
    <w:rsid w:val="56AB2B47"/>
    <w:rsid w:val="56F15EAF"/>
    <w:rsid w:val="57014B11"/>
    <w:rsid w:val="570A70D9"/>
    <w:rsid w:val="571A1A7B"/>
    <w:rsid w:val="57201787"/>
    <w:rsid w:val="57305E0A"/>
    <w:rsid w:val="575E22AF"/>
    <w:rsid w:val="57B00D9C"/>
    <w:rsid w:val="57B63E99"/>
    <w:rsid w:val="57D139A2"/>
    <w:rsid w:val="57DE0CFA"/>
    <w:rsid w:val="58077BC8"/>
    <w:rsid w:val="5825157B"/>
    <w:rsid w:val="5827389A"/>
    <w:rsid w:val="584E40D2"/>
    <w:rsid w:val="58536643"/>
    <w:rsid w:val="58564D34"/>
    <w:rsid w:val="58683B10"/>
    <w:rsid w:val="5874777C"/>
    <w:rsid w:val="58886673"/>
    <w:rsid w:val="58AE691E"/>
    <w:rsid w:val="58B76B89"/>
    <w:rsid w:val="58CB74D0"/>
    <w:rsid w:val="5980475F"/>
    <w:rsid w:val="598332BB"/>
    <w:rsid w:val="598F49A2"/>
    <w:rsid w:val="59D14FBA"/>
    <w:rsid w:val="59D35B1C"/>
    <w:rsid w:val="59D40F03"/>
    <w:rsid w:val="59E26C8B"/>
    <w:rsid w:val="5A146D55"/>
    <w:rsid w:val="5A1C61C8"/>
    <w:rsid w:val="5A2734CC"/>
    <w:rsid w:val="5A4A2677"/>
    <w:rsid w:val="5A6A5AF8"/>
    <w:rsid w:val="5A702CE3"/>
    <w:rsid w:val="5A731BCE"/>
    <w:rsid w:val="5A892511"/>
    <w:rsid w:val="5A9F2E94"/>
    <w:rsid w:val="5AA61A39"/>
    <w:rsid w:val="5AB05F4D"/>
    <w:rsid w:val="5AB57F91"/>
    <w:rsid w:val="5ACE32A8"/>
    <w:rsid w:val="5AD7215D"/>
    <w:rsid w:val="5AF251E8"/>
    <w:rsid w:val="5B286C19"/>
    <w:rsid w:val="5B490544"/>
    <w:rsid w:val="5B7C0F56"/>
    <w:rsid w:val="5BAD1E2B"/>
    <w:rsid w:val="5BBF58B4"/>
    <w:rsid w:val="5BC40A3F"/>
    <w:rsid w:val="5BCC08D1"/>
    <w:rsid w:val="5BD76CDF"/>
    <w:rsid w:val="5BDE751B"/>
    <w:rsid w:val="5C3B2BBF"/>
    <w:rsid w:val="5C4557B5"/>
    <w:rsid w:val="5C6C4B26"/>
    <w:rsid w:val="5C735EB5"/>
    <w:rsid w:val="5C757E7F"/>
    <w:rsid w:val="5C822B50"/>
    <w:rsid w:val="5C86208C"/>
    <w:rsid w:val="5CF3349A"/>
    <w:rsid w:val="5D041624"/>
    <w:rsid w:val="5D0C00B7"/>
    <w:rsid w:val="5D3545F3"/>
    <w:rsid w:val="5D495005"/>
    <w:rsid w:val="5D916C44"/>
    <w:rsid w:val="5D9A471F"/>
    <w:rsid w:val="5DD47E86"/>
    <w:rsid w:val="5DDB6FD3"/>
    <w:rsid w:val="5DE56DB4"/>
    <w:rsid w:val="5E850121"/>
    <w:rsid w:val="5E9D6065"/>
    <w:rsid w:val="5ED115B9"/>
    <w:rsid w:val="5EED299C"/>
    <w:rsid w:val="5EFE0303"/>
    <w:rsid w:val="5F114560"/>
    <w:rsid w:val="5F52528A"/>
    <w:rsid w:val="5F747934"/>
    <w:rsid w:val="5F872946"/>
    <w:rsid w:val="5F933F51"/>
    <w:rsid w:val="5FC5111D"/>
    <w:rsid w:val="5FEC48FC"/>
    <w:rsid w:val="60044FA7"/>
    <w:rsid w:val="601654D5"/>
    <w:rsid w:val="60261490"/>
    <w:rsid w:val="603658A5"/>
    <w:rsid w:val="606244D4"/>
    <w:rsid w:val="60A62FEE"/>
    <w:rsid w:val="60A63F76"/>
    <w:rsid w:val="60AA5873"/>
    <w:rsid w:val="60AC4BD0"/>
    <w:rsid w:val="60ED6DEB"/>
    <w:rsid w:val="60FF4B77"/>
    <w:rsid w:val="613A51F3"/>
    <w:rsid w:val="615564D1"/>
    <w:rsid w:val="61565DA5"/>
    <w:rsid w:val="61B72597"/>
    <w:rsid w:val="61BD7BD2"/>
    <w:rsid w:val="61D770D4"/>
    <w:rsid w:val="61DE0EB4"/>
    <w:rsid w:val="62154B16"/>
    <w:rsid w:val="62324A13"/>
    <w:rsid w:val="62CC631F"/>
    <w:rsid w:val="62D02854"/>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647071F"/>
    <w:rsid w:val="66604D90"/>
    <w:rsid w:val="66822308"/>
    <w:rsid w:val="668D7D12"/>
    <w:rsid w:val="66C73B2F"/>
    <w:rsid w:val="67027FFB"/>
    <w:rsid w:val="670A5668"/>
    <w:rsid w:val="671F0122"/>
    <w:rsid w:val="67242BCD"/>
    <w:rsid w:val="67492711"/>
    <w:rsid w:val="67720763"/>
    <w:rsid w:val="677A27ED"/>
    <w:rsid w:val="677C07BC"/>
    <w:rsid w:val="6799749C"/>
    <w:rsid w:val="67A02BD4"/>
    <w:rsid w:val="67BD6B7E"/>
    <w:rsid w:val="680D70EE"/>
    <w:rsid w:val="68362271"/>
    <w:rsid w:val="685272C6"/>
    <w:rsid w:val="68541290"/>
    <w:rsid w:val="6867713B"/>
    <w:rsid w:val="68695DE6"/>
    <w:rsid w:val="68816331"/>
    <w:rsid w:val="68BA0AEE"/>
    <w:rsid w:val="68BB3DB9"/>
    <w:rsid w:val="68ED02CC"/>
    <w:rsid w:val="68F55EA4"/>
    <w:rsid w:val="69110F2F"/>
    <w:rsid w:val="69623539"/>
    <w:rsid w:val="69763488"/>
    <w:rsid w:val="69782D5D"/>
    <w:rsid w:val="69955386"/>
    <w:rsid w:val="69E44896"/>
    <w:rsid w:val="6A10033C"/>
    <w:rsid w:val="6A65682A"/>
    <w:rsid w:val="6A8C5653"/>
    <w:rsid w:val="6A90057A"/>
    <w:rsid w:val="6A9E4A45"/>
    <w:rsid w:val="6A9F2EB2"/>
    <w:rsid w:val="6AAE4DFC"/>
    <w:rsid w:val="6ACB15B2"/>
    <w:rsid w:val="6ACB6C4D"/>
    <w:rsid w:val="6AE97DBC"/>
    <w:rsid w:val="6AF428B7"/>
    <w:rsid w:val="6AFB3C45"/>
    <w:rsid w:val="6B00125C"/>
    <w:rsid w:val="6B2333EC"/>
    <w:rsid w:val="6B3B4041"/>
    <w:rsid w:val="6B5C52B4"/>
    <w:rsid w:val="6B7C40B1"/>
    <w:rsid w:val="6B9366F7"/>
    <w:rsid w:val="6BBA57F8"/>
    <w:rsid w:val="6BDD334B"/>
    <w:rsid w:val="6BFF59B7"/>
    <w:rsid w:val="6C0905E4"/>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0F4163"/>
    <w:rsid w:val="6F1063C6"/>
    <w:rsid w:val="6F1D56EE"/>
    <w:rsid w:val="6F466764"/>
    <w:rsid w:val="6F586D15"/>
    <w:rsid w:val="6F6137A6"/>
    <w:rsid w:val="6F632E9C"/>
    <w:rsid w:val="6F722697"/>
    <w:rsid w:val="6FBE3493"/>
    <w:rsid w:val="6FCE7B7A"/>
    <w:rsid w:val="6FD3742F"/>
    <w:rsid w:val="6FD444B7"/>
    <w:rsid w:val="6FD76303"/>
    <w:rsid w:val="6FD96193"/>
    <w:rsid w:val="700F69AE"/>
    <w:rsid w:val="701B6B38"/>
    <w:rsid w:val="701F74FE"/>
    <w:rsid w:val="70362BD3"/>
    <w:rsid w:val="70446180"/>
    <w:rsid w:val="70534214"/>
    <w:rsid w:val="705F4C76"/>
    <w:rsid w:val="70622071"/>
    <w:rsid w:val="709A7A5C"/>
    <w:rsid w:val="709C0183"/>
    <w:rsid w:val="70B07280"/>
    <w:rsid w:val="70C745CA"/>
    <w:rsid w:val="70E24F2A"/>
    <w:rsid w:val="70ED18BA"/>
    <w:rsid w:val="712F7E59"/>
    <w:rsid w:val="713416D6"/>
    <w:rsid w:val="71353C29"/>
    <w:rsid w:val="714B22D6"/>
    <w:rsid w:val="71503325"/>
    <w:rsid w:val="715045BF"/>
    <w:rsid w:val="71526589"/>
    <w:rsid w:val="717402AD"/>
    <w:rsid w:val="717F6C52"/>
    <w:rsid w:val="71970440"/>
    <w:rsid w:val="71D71133"/>
    <w:rsid w:val="71EF3DD8"/>
    <w:rsid w:val="72023B0B"/>
    <w:rsid w:val="7205229F"/>
    <w:rsid w:val="720A0C12"/>
    <w:rsid w:val="72374DAB"/>
    <w:rsid w:val="72513A74"/>
    <w:rsid w:val="72710856"/>
    <w:rsid w:val="7275720A"/>
    <w:rsid w:val="729A01E8"/>
    <w:rsid w:val="72E64B19"/>
    <w:rsid w:val="72E72D01"/>
    <w:rsid w:val="73274D6C"/>
    <w:rsid w:val="73281A91"/>
    <w:rsid w:val="7344188A"/>
    <w:rsid w:val="734750AB"/>
    <w:rsid w:val="73520AC2"/>
    <w:rsid w:val="736305DA"/>
    <w:rsid w:val="73F7090D"/>
    <w:rsid w:val="743133E3"/>
    <w:rsid w:val="744D3038"/>
    <w:rsid w:val="746C7962"/>
    <w:rsid w:val="747F2F2B"/>
    <w:rsid w:val="74842EFD"/>
    <w:rsid w:val="74C01A5C"/>
    <w:rsid w:val="74C13209"/>
    <w:rsid w:val="74F72384"/>
    <w:rsid w:val="74FB3901"/>
    <w:rsid w:val="75086ADE"/>
    <w:rsid w:val="751D7DBC"/>
    <w:rsid w:val="753A7A60"/>
    <w:rsid w:val="75515D5C"/>
    <w:rsid w:val="75860BDA"/>
    <w:rsid w:val="75A241B0"/>
    <w:rsid w:val="75F74182"/>
    <w:rsid w:val="76023B98"/>
    <w:rsid w:val="7630230D"/>
    <w:rsid w:val="764D5751"/>
    <w:rsid w:val="766A1C7F"/>
    <w:rsid w:val="76BE1C69"/>
    <w:rsid w:val="76C27D0D"/>
    <w:rsid w:val="76E9357C"/>
    <w:rsid w:val="770C0F88"/>
    <w:rsid w:val="771E25CC"/>
    <w:rsid w:val="77224B21"/>
    <w:rsid w:val="7769211C"/>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52E89"/>
    <w:rsid w:val="7A6631DA"/>
    <w:rsid w:val="7A8422E1"/>
    <w:rsid w:val="7A8F6158"/>
    <w:rsid w:val="7A9E283F"/>
    <w:rsid w:val="7B32464C"/>
    <w:rsid w:val="7B38603E"/>
    <w:rsid w:val="7B547F32"/>
    <w:rsid w:val="7BBD4F47"/>
    <w:rsid w:val="7BC32D62"/>
    <w:rsid w:val="7BD2356E"/>
    <w:rsid w:val="7BED27A7"/>
    <w:rsid w:val="7C024827"/>
    <w:rsid w:val="7C0B180E"/>
    <w:rsid w:val="7C645384"/>
    <w:rsid w:val="7C670F2A"/>
    <w:rsid w:val="7C9D616A"/>
    <w:rsid w:val="7CAA5BB2"/>
    <w:rsid w:val="7CAF4890"/>
    <w:rsid w:val="7CB24380"/>
    <w:rsid w:val="7CC76DD8"/>
    <w:rsid w:val="7CC84DBF"/>
    <w:rsid w:val="7D1A6E61"/>
    <w:rsid w:val="7D3B25C7"/>
    <w:rsid w:val="7D553689"/>
    <w:rsid w:val="7D7B6E68"/>
    <w:rsid w:val="7D8B0D56"/>
    <w:rsid w:val="7D9819DE"/>
    <w:rsid w:val="7DA4016C"/>
    <w:rsid w:val="7DDE5692"/>
    <w:rsid w:val="7DE60C95"/>
    <w:rsid w:val="7E092DCD"/>
    <w:rsid w:val="7E1C6DB5"/>
    <w:rsid w:val="7E215319"/>
    <w:rsid w:val="7E2412AD"/>
    <w:rsid w:val="7E3E236F"/>
    <w:rsid w:val="7E5535E0"/>
    <w:rsid w:val="7E7347A5"/>
    <w:rsid w:val="7E97572C"/>
    <w:rsid w:val="7E9C0FCE"/>
    <w:rsid w:val="7EB90B73"/>
    <w:rsid w:val="7EC34622"/>
    <w:rsid w:val="7ECB1EA2"/>
    <w:rsid w:val="7EDC1B88"/>
    <w:rsid w:val="7EEC7FF7"/>
    <w:rsid w:val="7EF50554"/>
    <w:rsid w:val="7F08297D"/>
    <w:rsid w:val="7F201723"/>
    <w:rsid w:val="7F737DF6"/>
    <w:rsid w:val="7F8738A2"/>
    <w:rsid w:val="7F963AE5"/>
    <w:rsid w:val="7FAF3154"/>
    <w:rsid w:val="7FC376C7"/>
    <w:rsid w:val="7FDE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4">
    <w:name w:val="heading 2"/>
    <w:basedOn w:val="1"/>
    <w:next w:val="1"/>
    <w:link w:val="40"/>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5">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Normal Indent"/>
    <w:basedOn w:val="1"/>
    <w:next w:val="1"/>
    <w:autoRedefine/>
    <w:qFormat/>
    <w:uiPriority w:val="0"/>
    <w:pPr>
      <w:widowControl/>
      <w:ind w:firstLine="420"/>
      <w:jc w:val="left"/>
    </w:pPr>
    <w:rPr>
      <w:kern w:val="0"/>
      <w:sz w:val="20"/>
      <w:szCs w:val="20"/>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next w:val="12"/>
    <w:autoRedefine/>
    <w:qFormat/>
    <w:uiPriority w:val="0"/>
    <w:pPr>
      <w:ind w:firstLine="640" w:firstLineChars="200"/>
    </w:pPr>
    <w:rPr>
      <w:color w:val="0000FF"/>
      <w:kern w:val="0"/>
      <w:sz w:val="32"/>
    </w:rPr>
  </w:style>
  <w:style w:type="paragraph" w:styleId="12">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1"/>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unhideWhenUsed/>
    <w:qFormat/>
    <w:uiPriority w:val="0"/>
    <w:rPr>
      <w:rFonts w:hint="default"/>
      <w:sz w:val="24"/>
      <w:szCs w:val="24"/>
    </w:rPr>
  </w:style>
  <w:style w:type="character" w:styleId="22">
    <w:name w:val="Hyperlink"/>
    <w:basedOn w:val="19"/>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19"/>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default" w:ascii="Calibri" w:hAnsi="Calibri" w:cs="Calibri"/>
      <w:color w:val="000000"/>
      <w:sz w:val="24"/>
      <w:szCs w:val="24"/>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FF0000"/>
      <w:sz w:val="20"/>
      <w:szCs w:val="20"/>
      <w:u w:val="none"/>
    </w:rPr>
  </w:style>
  <w:style w:type="character" w:customStyle="1" w:styleId="40">
    <w:name w:val="标题 2 Char"/>
    <w:link w:val="4"/>
    <w:qFormat/>
    <w:uiPriority w:val="0"/>
    <w:rPr>
      <w:rFonts w:ascii="Cambria" w:hAnsi="Cambria" w:eastAsia="宋体" w:cs="Times New Roman"/>
      <w:b/>
      <w:bCs/>
      <w:kern w:val="0"/>
      <w:sz w:val="30"/>
      <w:szCs w:val="32"/>
    </w:rPr>
  </w:style>
  <w:style w:type="character" w:customStyle="1" w:styleId="41">
    <w:name w:val="font51"/>
    <w:basedOn w:val="1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6165</Words>
  <Characters>6475</Characters>
  <Lines>0</Lines>
  <Paragraphs>0</Paragraphs>
  <TotalTime>0</TotalTime>
  <ScaleCrop>false</ScaleCrop>
  <LinksUpToDate>false</LinksUpToDate>
  <CharactersWithSpaces>7069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刘雨弦</cp:lastModifiedBy>
  <cp:lastPrinted>2025-03-27T07:22:00Z</cp:lastPrinted>
  <dcterms:modified xsi:type="dcterms:W3CDTF">2025-05-13T10:26:36Z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F2564086DA4C4CF59D54AD93E51A8275_13</vt:lpwstr>
  </property>
  <property fmtid="{D5CDD505-2E9C-101B-9397-08002B2CF9AE}" pid="4" name="KSOTemplateDocerSaveRecord">
    <vt:lpwstr>eyJoZGlkIjoiZTM4ZGNlM2IyNjJiNGY3NDllYjljMTJmNDQ4MTliNDciLCJ1c2VySWQiOiIyNjI5NTYyMTEifQ==</vt:lpwstr>
  </property>
</Properties>
</file>